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jc w:val="center"/>
        <w:rPr>
          <w:rFonts w:eastAsia="方正小标宋_GBK" w:cs="Times New Roman"/>
          <w:color w:val="000000" w:themeColor="text1"/>
          <w:sz w:val="36"/>
          <w:szCs w:val="36"/>
          <w14:textFill>
            <w14:solidFill>
              <w14:schemeClr w14:val="tx1"/>
            </w14:solidFill>
          </w14:textFill>
        </w:rPr>
      </w:pPr>
    </w:p>
    <w:p>
      <w:pPr>
        <w:ind w:firstLine="0" w:firstLineChars="0"/>
        <w:jc w:val="center"/>
        <w:rPr>
          <w:rFonts w:eastAsia="方正小标宋_GBK" w:cs="Times New Roman"/>
          <w:color w:val="000000" w:themeColor="text1"/>
          <w:sz w:val="36"/>
          <w:szCs w:val="36"/>
          <w14:textFill>
            <w14:solidFill>
              <w14:schemeClr w14:val="tx1"/>
            </w14:solidFill>
          </w14:textFill>
        </w:rPr>
      </w:pPr>
    </w:p>
    <w:p>
      <w:pPr>
        <w:ind w:firstLine="0" w:firstLineChars="0"/>
        <w:jc w:val="center"/>
        <w:rPr>
          <w:rFonts w:eastAsia="方正小标宋_GBK" w:cs="Times New Roman"/>
          <w:color w:val="000000" w:themeColor="text1"/>
          <w:sz w:val="36"/>
          <w:szCs w:val="36"/>
          <w14:textFill>
            <w14:solidFill>
              <w14:schemeClr w14:val="tx1"/>
            </w14:solidFill>
          </w14:textFill>
        </w:rPr>
      </w:pPr>
    </w:p>
    <w:p>
      <w:pPr>
        <w:ind w:firstLine="0" w:firstLineChars="0"/>
        <w:jc w:val="center"/>
        <w:rPr>
          <w:rFonts w:eastAsia="方正小标宋_GBK" w:cs="Times New Roman"/>
          <w:color w:val="000000" w:themeColor="text1"/>
          <w:sz w:val="36"/>
          <w:szCs w:val="36"/>
          <w14:textFill>
            <w14:solidFill>
              <w14:schemeClr w14:val="tx1"/>
            </w14:solidFill>
          </w14:textFill>
        </w:rPr>
      </w:pPr>
    </w:p>
    <w:p>
      <w:pPr>
        <w:ind w:firstLine="0" w:firstLineChars="0"/>
        <w:jc w:val="center"/>
        <w:rPr>
          <w:rFonts w:eastAsia="方正小标宋_GBK" w:cs="Times New Roman"/>
          <w:color w:val="000000" w:themeColor="text1"/>
          <w:sz w:val="36"/>
          <w:szCs w:val="36"/>
          <w14:textFill>
            <w14:solidFill>
              <w14:schemeClr w14:val="tx1"/>
            </w14:solidFill>
          </w14:textFill>
        </w:rPr>
      </w:pPr>
    </w:p>
    <w:p>
      <w:pPr>
        <w:pStyle w:val="21"/>
        <w:outlineLvl w:val="9"/>
        <w:rPr>
          <w:snapToGrid w:val="0"/>
          <w:color w:val="000000" w:themeColor="text1"/>
          <w14:textFill>
            <w14:solidFill>
              <w14:schemeClr w14:val="tx1"/>
            </w14:solidFill>
          </w14:textFill>
        </w:rPr>
      </w:pPr>
      <w:bookmarkStart w:id="0" w:name="_Toc205883207"/>
      <w:bookmarkStart w:id="1" w:name="_Toc205886425"/>
      <w:bookmarkStart w:id="2" w:name="_Toc14155"/>
      <w:bookmarkStart w:id="3" w:name="_Toc211011507"/>
      <w:r>
        <w:rPr>
          <w:rFonts w:hint="eastAsia"/>
          <w:snapToGrid w:val="0"/>
          <w:color w:val="000000" w:themeColor="text1"/>
          <w14:textFill>
            <w14:solidFill>
              <w14:schemeClr w14:val="tx1"/>
            </w14:solidFill>
          </w14:textFill>
        </w:rPr>
        <w:t>营口市“十五五”</w:t>
      </w:r>
      <w:bookmarkEnd w:id="0"/>
      <w:bookmarkEnd w:id="1"/>
      <w:bookmarkEnd w:id="2"/>
      <w:bookmarkEnd w:id="3"/>
      <w:bookmarkStart w:id="4" w:name="_Toc205883208"/>
      <w:bookmarkStart w:id="5" w:name="_Toc27263"/>
      <w:bookmarkStart w:id="6" w:name="_Toc205886426"/>
      <w:bookmarkStart w:id="7" w:name="_Toc211011508"/>
      <w:r>
        <w:rPr>
          <w:rFonts w:hint="eastAsia"/>
          <w:snapToGrid w:val="0"/>
          <w:color w:val="000000" w:themeColor="text1"/>
          <w14:textFill>
            <w14:solidFill>
              <w14:schemeClr w14:val="tx1"/>
            </w14:solidFill>
          </w14:textFill>
        </w:rPr>
        <w:t>综合交通运输</w:t>
      </w:r>
    </w:p>
    <w:p>
      <w:pPr>
        <w:pStyle w:val="21"/>
        <w:outlineLvl w:val="9"/>
        <w:rPr>
          <w:snapToGrid w:val="0"/>
          <w:color w:val="000000" w:themeColor="text1"/>
          <w14:textFill>
            <w14:solidFill>
              <w14:schemeClr w14:val="tx1"/>
            </w14:solidFill>
          </w14:textFill>
        </w:rPr>
      </w:pPr>
      <w:r>
        <w:rPr>
          <w:rFonts w:hint="eastAsia"/>
          <w:snapToGrid w:val="0"/>
          <w:color w:val="000000" w:themeColor="text1"/>
          <w14:textFill>
            <w14:solidFill>
              <w14:schemeClr w14:val="tx1"/>
            </w14:solidFill>
          </w14:textFill>
        </w:rPr>
        <w:t>发展规划</w:t>
      </w:r>
      <w:bookmarkEnd w:id="4"/>
      <w:bookmarkEnd w:id="5"/>
      <w:bookmarkEnd w:id="6"/>
      <w:bookmarkEnd w:id="7"/>
    </w:p>
    <w:p>
      <w:pPr>
        <w:ind w:firstLine="0" w:firstLineChars="0"/>
        <w:jc w:val="center"/>
        <w:rPr>
          <w:rFonts w:eastAsia="楷体_GB2312" w:cs="Times New Roman"/>
          <w:color w:val="000000" w:themeColor="text1"/>
          <w:szCs w:val="32"/>
          <w14:textFill>
            <w14:solidFill>
              <w14:schemeClr w14:val="tx1"/>
            </w14:solidFill>
          </w14:textFill>
        </w:rPr>
      </w:pPr>
    </w:p>
    <w:p>
      <w:pPr>
        <w:ind w:firstLine="0" w:firstLineChars="0"/>
        <w:jc w:val="center"/>
        <w:rPr>
          <w:rFonts w:eastAsia="楷体_GB2312" w:cs="Times New Roman"/>
          <w:color w:val="000000" w:themeColor="text1"/>
          <w:szCs w:val="32"/>
          <w14:textFill>
            <w14:solidFill>
              <w14:schemeClr w14:val="tx1"/>
            </w14:solidFill>
          </w14:textFill>
        </w:rPr>
      </w:pPr>
      <w:r>
        <w:rPr>
          <w:rFonts w:hint="eastAsia" w:eastAsia="楷体_GB2312" w:cs="Times New Roman"/>
          <w:color w:val="000000" w:themeColor="text1"/>
          <w:szCs w:val="32"/>
          <w14:textFill>
            <w14:solidFill>
              <w14:schemeClr w14:val="tx1"/>
            </w14:solidFill>
          </w14:textFill>
        </w:rPr>
        <w:t>（征求意见稿）</w:t>
      </w:r>
    </w:p>
    <w:p>
      <w:pPr>
        <w:ind w:firstLine="0" w:firstLineChars="0"/>
        <w:jc w:val="center"/>
        <w:rPr>
          <w:rFonts w:eastAsia="方正小标宋_GBK" w:cs="Times New Roman"/>
          <w:color w:val="000000" w:themeColor="text1"/>
          <w:sz w:val="36"/>
          <w:szCs w:val="36"/>
          <w14:textFill>
            <w14:solidFill>
              <w14:schemeClr w14:val="tx1"/>
            </w14:solidFill>
          </w14:textFill>
        </w:rPr>
      </w:pPr>
    </w:p>
    <w:p>
      <w:pPr>
        <w:ind w:firstLine="0" w:firstLineChars="0"/>
        <w:jc w:val="center"/>
        <w:rPr>
          <w:rFonts w:eastAsia="方正小标宋_GBK" w:cs="Times New Roman"/>
          <w:color w:val="000000" w:themeColor="text1"/>
          <w:sz w:val="36"/>
          <w:szCs w:val="36"/>
          <w14:textFill>
            <w14:solidFill>
              <w14:schemeClr w14:val="tx1"/>
            </w14:solidFill>
          </w14:textFill>
        </w:rPr>
      </w:pPr>
    </w:p>
    <w:p>
      <w:pPr>
        <w:ind w:firstLine="0" w:firstLineChars="0"/>
        <w:jc w:val="center"/>
        <w:rPr>
          <w:rFonts w:eastAsia="方正小标宋_GBK" w:cs="Times New Roman"/>
          <w:color w:val="000000" w:themeColor="text1"/>
          <w:sz w:val="36"/>
          <w:szCs w:val="36"/>
          <w14:textFill>
            <w14:solidFill>
              <w14:schemeClr w14:val="tx1"/>
            </w14:solidFill>
          </w14:textFill>
        </w:rPr>
      </w:pPr>
    </w:p>
    <w:p>
      <w:pPr>
        <w:ind w:firstLine="0" w:firstLineChars="0"/>
        <w:jc w:val="center"/>
        <w:rPr>
          <w:rFonts w:eastAsia="方正小标宋_GBK" w:cs="Times New Roman"/>
          <w:color w:val="000000" w:themeColor="text1"/>
          <w:sz w:val="36"/>
          <w:szCs w:val="36"/>
          <w14:textFill>
            <w14:solidFill>
              <w14:schemeClr w14:val="tx1"/>
            </w14:solidFill>
          </w14:textFill>
        </w:rPr>
      </w:pPr>
    </w:p>
    <w:p>
      <w:pPr>
        <w:ind w:firstLine="0" w:firstLineChars="0"/>
        <w:jc w:val="center"/>
        <w:rPr>
          <w:rFonts w:eastAsia="方正小标宋_GBK" w:cs="Times New Roman"/>
          <w:color w:val="000000" w:themeColor="text1"/>
          <w:sz w:val="36"/>
          <w:szCs w:val="36"/>
          <w14:textFill>
            <w14:solidFill>
              <w14:schemeClr w14:val="tx1"/>
            </w14:solidFill>
          </w14:textFill>
        </w:rPr>
      </w:pPr>
    </w:p>
    <w:p>
      <w:pPr>
        <w:ind w:firstLine="0" w:firstLineChars="0"/>
        <w:jc w:val="center"/>
        <w:rPr>
          <w:rFonts w:eastAsia="楷体_GB2312" w:cs="Times New Roman"/>
          <w:color w:val="000000" w:themeColor="text1"/>
          <w:szCs w:val="32"/>
          <w14:textFill>
            <w14:solidFill>
              <w14:schemeClr w14:val="tx1"/>
            </w14:solidFill>
          </w14:textFill>
        </w:rPr>
      </w:pPr>
      <w:bookmarkStart w:id="8" w:name="_Toc205886427"/>
      <w:bookmarkStart w:id="9" w:name="_Toc211011509"/>
      <w:bookmarkStart w:id="10" w:name="_Toc205883209"/>
      <w:bookmarkStart w:id="11" w:name="_Toc3783"/>
    </w:p>
    <w:p>
      <w:pPr>
        <w:ind w:firstLine="0" w:firstLineChars="0"/>
        <w:jc w:val="center"/>
        <w:rPr>
          <w:rFonts w:eastAsia="楷体_GB2312" w:cs="Times New Roman"/>
          <w:color w:val="000000" w:themeColor="text1"/>
          <w:szCs w:val="32"/>
          <w14:textFill>
            <w14:solidFill>
              <w14:schemeClr w14:val="tx1"/>
            </w14:solidFill>
          </w14:textFill>
        </w:rPr>
      </w:pPr>
    </w:p>
    <w:p>
      <w:pPr>
        <w:ind w:firstLine="0" w:firstLineChars="0"/>
        <w:jc w:val="center"/>
        <w:rPr>
          <w:rFonts w:eastAsia="楷体_GB2312" w:cs="Times New Roman"/>
          <w:color w:val="000000" w:themeColor="text1"/>
          <w:szCs w:val="32"/>
          <w14:textFill>
            <w14:solidFill>
              <w14:schemeClr w14:val="tx1"/>
            </w14:solidFill>
          </w14:textFill>
        </w:rPr>
      </w:pPr>
      <w:r>
        <w:rPr>
          <w:rFonts w:hint="eastAsia" w:eastAsia="楷体_GB2312" w:cs="Times New Roman"/>
          <w:color w:val="000000" w:themeColor="text1"/>
          <w:szCs w:val="32"/>
          <w14:textFill>
            <w14:solidFill>
              <w14:schemeClr w14:val="tx1"/>
            </w14:solidFill>
          </w14:textFill>
        </w:rPr>
        <w:t>营口市交通运输局</w:t>
      </w:r>
      <w:bookmarkEnd w:id="8"/>
      <w:bookmarkEnd w:id="9"/>
      <w:bookmarkEnd w:id="10"/>
      <w:bookmarkEnd w:id="11"/>
    </w:p>
    <w:p>
      <w:pPr>
        <w:ind w:firstLine="0" w:firstLineChars="0"/>
        <w:jc w:val="center"/>
        <w:rPr>
          <w:rFonts w:eastAsia="楷体_GB2312" w:cs="Times New Roman"/>
          <w:color w:val="000000" w:themeColor="text1"/>
          <w:szCs w:val="32"/>
          <w14:textFill>
            <w14:solidFill>
              <w14:schemeClr w14:val="tx1"/>
            </w14:solidFill>
          </w14:textFill>
        </w:rPr>
      </w:pPr>
      <w:bookmarkStart w:id="12" w:name="_Toc205886429"/>
      <w:bookmarkStart w:id="13" w:name="_Toc211011511"/>
      <w:bookmarkStart w:id="14" w:name="_Toc205883211"/>
      <w:bookmarkStart w:id="15" w:name="_Toc829"/>
      <w:r>
        <w:rPr>
          <w:rFonts w:hint="eastAsia" w:eastAsia="楷体_GB2312" w:cs="Times New Roman"/>
          <w:color w:val="000000" w:themeColor="text1"/>
          <w:szCs w:val="32"/>
          <w14:textFill>
            <w14:solidFill>
              <w14:schemeClr w14:val="tx1"/>
            </w14:solidFill>
          </w14:textFill>
        </w:rPr>
        <w:t>二</w:t>
      </w:r>
      <w:r>
        <w:rPr>
          <w:rFonts w:hint="eastAsia" w:ascii="微软雅黑" w:hAnsi="微软雅黑" w:eastAsia="微软雅黑" w:cs="微软雅黑"/>
          <w:color w:val="000000" w:themeColor="text1"/>
          <w:szCs w:val="32"/>
          <w14:textFill>
            <w14:solidFill>
              <w14:schemeClr w14:val="tx1"/>
            </w14:solidFill>
          </w14:textFill>
        </w:rPr>
        <w:t>〇</w:t>
      </w:r>
      <w:r>
        <w:rPr>
          <w:rFonts w:hint="eastAsia" w:eastAsia="楷体_GB2312" w:cs="Times New Roman"/>
          <w:color w:val="000000" w:themeColor="text1"/>
          <w:szCs w:val="32"/>
          <w14:textFill>
            <w14:solidFill>
              <w14:schemeClr w14:val="tx1"/>
            </w14:solidFill>
          </w14:textFill>
        </w:rPr>
        <w:t>二六年七月</w:t>
      </w:r>
      <w:bookmarkEnd w:id="12"/>
      <w:bookmarkEnd w:id="13"/>
      <w:bookmarkEnd w:id="14"/>
      <w:bookmarkEnd w:id="15"/>
    </w:p>
    <w:p>
      <w:pPr>
        <w:ind w:firstLine="0" w:firstLineChars="0"/>
        <w:rPr>
          <w:rFonts w:eastAsia="楷体_GB2312" w:cs="Times New Roman"/>
          <w:color w:val="000000" w:themeColor="text1"/>
          <w:szCs w:val="32"/>
          <w14:textFill>
            <w14:solidFill>
              <w14:schemeClr w14:val="tx1"/>
            </w14:solidFill>
          </w14:textFill>
        </w:rPr>
      </w:pPr>
    </w:p>
    <w:p>
      <w:pPr>
        <w:ind w:firstLine="0" w:firstLineChars="0"/>
        <w:jc w:val="center"/>
        <w:rPr>
          <w:rFonts w:eastAsia="楷体_GB2312" w:cs="Times New Roman"/>
          <w:color w:val="000000" w:themeColor="text1"/>
          <w:szCs w:val="32"/>
          <w14:textFill>
            <w14:solidFill>
              <w14:schemeClr w14:val="tx1"/>
            </w14:solidFill>
          </w14:textFill>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pgNumType w:fmt="upperRoman" w:start="0"/>
          <w:cols w:space="425" w:num="1"/>
          <w:titlePg/>
          <w:docGrid w:type="lines" w:linePitch="435" w:charSpace="0"/>
        </w:sectPr>
      </w:pPr>
    </w:p>
    <w:sdt>
      <w:sdtPr>
        <w:rPr>
          <w:b w:val="0"/>
          <w:color w:val="000000" w:themeColor="text1"/>
          <w:lang w:val="zh-CN"/>
          <w14:textFill>
            <w14:solidFill>
              <w14:schemeClr w14:val="tx1"/>
            </w14:solidFill>
          </w14:textFill>
        </w:rPr>
        <w:id w:val="-974063344"/>
        <w:docPartObj>
          <w:docPartGallery w:val="Table of Contents"/>
          <w:docPartUnique/>
        </w:docPartObj>
      </w:sdtPr>
      <w:sdtEndPr>
        <w:rPr>
          <w:b w:val="0"/>
          <w:bCs/>
          <w:color w:val="000000" w:themeColor="text1"/>
          <w:lang w:val="zh-CN"/>
          <w14:textFill>
            <w14:solidFill>
              <w14:schemeClr w14:val="tx1"/>
            </w14:solidFill>
          </w14:textFill>
        </w:rPr>
      </w:sdtEndPr>
      <w:sdtContent>
        <w:p>
          <w:pPr>
            <w:pStyle w:val="15"/>
            <w:tabs>
              <w:tab w:val="right" w:leader="dot" w:pos="8296"/>
            </w:tabs>
            <w:spacing w:line="480" w:lineRule="exact"/>
            <w:jc w:val="center"/>
          </w:pPr>
          <w:bookmarkStart w:id="16" w:name="_Toc232604072"/>
          <w:bookmarkStart w:id="17" w:name="_Toc220338621"/>
          <w:bookmarkStart w:id="18" w:name="_Toc205883212"/>
          <w:bookmarkStart w:id="19" w:name="_Toc3155"/>
          <w:r>
            <w:rPr>
              <w:rFonts w:ascii="方正小标宋_GBK" w:hAnsi="方正小标宋简体" w:eastAsia="方正小标宋_GBK" w:cs="方正小标宋简体"/>
              <w:b w:val="0"/>
              <w:bCs/>
              <w:color w:val="000000" w:themeColor="text1"/>
              <w:kern w:val="44"/>
              <w:sz w:val="44"/>
              <w:szCs w:val="44"/>
              <w14:textFill>
                <w14:solidFill>
                  <w14:schemeClr w14:val="tx1"/>
                </w14:solidFill>
              </w14:textFill>
            </w:rPr>
            <w:t>目</w:t>
          </w:r>
          <w:r>
            <w:rPr>
              <w:rFonts w:hint="eastAsia" w:ascii="方正小标宋_GBK" w:hAnsi="方正小标宋简体" w:eastAsia="方正小标宋_GBK" w:cs="方正小标宋简体"/>
              <w:b w:val="0"/>
              <w:bCs/>
              <w:color w:val="000000" w:themeColor="text1"/>
              <w:kern w:val="44"/>
              <w:sz w:val="44"/>
              <w:szCs w:val="44"/>
              <w14:textFill>
                <w14:solidFill>
                  <w14:schemeClr w14:val="tx1"/>
                </w14:solidFill>
              </w14:textFill>
            </w:rPr>
            <w:t xml:space="preserve">  </w:t>
          </w:r>
          <w:r>
            <w:rPr>
              <w:rFonts w:ascii="方正小标宋_GBK" w:hAnsi="方正小标宋简体" w:eastAsia="方正小标宋_GBK" w:cs="方正小标宋简体"/>
              <w:b w:val="0"/>
              <w:bCs/>
              <w:color w:val="000000" w:themeColor="text1"/>
              <w:kern w:val="44"/>
              <w:sz w:val="44"/>
              <w:szCs w:val="44"/>
              <w14:textFill>
                <w14:solidFill>
                  <w14:schemeClr w14:val="tx1"/>
                </w14:solidFill>
              </w14:textFill>
            </w:rPr>
            <w:t>录</w:t>
          </w:r>
          <w:bookmarkEnd w:id="16"/>
          <w:bookmarkEnd w:id="17"/>
          <w:r>
            <w:rPr>
              <w:rFonts w:asciiTheme="majorHAnsi" w:hAnsiTheme="majorHAnsi" w:eastAsiaTheme="majorEastAsia" w:cstheme="majorBidi"/>
              <w:b w:val="0"/>
              <w:color w:val="000000" w:themeColor="text1"/>
              <w:kern w:val="0"/>
              <w:sz w:val="30"/>
              <w:szCs w:val="30"/>
              <w14:textFill>
                <w14:solidFill>
                  <w14:schemeClr w14:val="tx1"/>
                </w14:solidFill>
              </w14:textFill>
              <w14:ligatures w14:val="none"/>
            </w:rPr>
            <w:fldChar w:fldCharType="begin"/>
          </w:r>
          <w:r>
            <w:rPr>
              <w:b w:val="0"/>
              <w:color w:val="000000" w:themeColor="text1"/>
              <w:sz w:val="30"/>
              <w:szCs w:val="30"/>
              <w14:textFill>
                <w14:solidFill>
                  <w14:schemeClr w14:val="tx1"/>
                </w14:solidFill>
              </w14:textFill>
            </w:rPr>
            <w:instrText xml:space="preserve"> TOC \o "1-3" \h \z \u </w:instrText>
          </w:r>
          <w:r>
            <w:rPr>
              <w:rFonts w:asciiTheme="majorHAnsi" w:hAnsiTheme="majorHAnsi" w:eastAsiaTheme="majorEastAsia" w:cstheme="majorBidi"/>
              <w:b w:val="0"/>
              <w:color w:val="000000" w:themeColor="text1"/>
              <w:kern w:val="0"/>
              <w:sz w:val="30"/>
              <w:szCs w:val="30"/>
              <w14:textFill>
                <w14:solidFill>
                  <w14:schemeClr w14:val="tx1"/>
                </w14:solidFill>
              </w14:textFill>
              <w14:ligatures w14:val="none"/>
            </w:rPr>
            <w:fldChar w:fldCharType="separate"/>
          </w:r>
        </w:p>
        <w:p>
          <w:pPr>
            <w:pStyle w:val="15"/>
            <w:tabs>
              <w:tab w:val="right" w:leader="dot" w:pos="8296"/>
            </w:tabs>
            <w:spacing w:line="480" w:lineRule="exact"/>
            <w:rPr>
              <w:rFonts w:asciiTheme="minorHAnsi" w:hAnsiTheme="minorHAnsi" w:eastAsiaTheme="minorEastAsia"/>
              <w:b w:val="0"/>
              <w:sz w:val="21"/>
              <w14:ligatures w14:val="none"/>
            </w:rPr>
          </w:pPr>
          <w:r>
            <w:fldChar w:fldCharType="begin"/>
          </w:r>
          <w:r>
            <w:instrText xml:space="preserve"> HYPERLINK \l "_Toc232606918" </w:instrText>
          </w:r>
          <w:r>
            <w:fldChar w:fldCharType="separate"/>
          </w:r>
          <w:r>
            <w:rPr>
              <w:rStyle w:val="26"/>
              <w:rFonts w:ascii="黑体" w:hAnsi="黑体" w:eastAsia="黑体" w:cs="黑体"/>
              <w:b w:val="0"/>
            </w:rPr>
            <w:t>一、发展环境</w:t>
          </w:r>
          <w:r>
            <w:rPr>
              <w:b w:val="0"/>
            </w:rPr>
            <w:tab/>
          </w:r>
          <w:r>
            <w:rPr>
              <w:b w:val="0"/>
            </w:rPr>
            <w:fldChar w:fldCharType="begin"/>
          </w:r>
          <w:r>
            <w:rPr>
              <w:b w:val="0"/>
            </w:rPr>
            <w:instrText xml:space="preserve"> PAGEREF _Toc232606918 \h </w:instrText>
          </w:r>
          <w:r>
            <w:rPr>
              <w:b w:val="0"/>
            </w:rPr>
            <w:fldChar w:fldCharType="separate"/>
          </w:r>
          <w:r>
            <w:rPr>
              <w:b w:val="0"/>
            </w:rPr>
            <w:t>1</w:t>
          </w:r>
          <w:r>
            <w:rPr>
              <w:b w:val="0"/>
            </w:rPr>
            <w:fldChar w:fldCharType="end"/>
          </w:r>
          <w:r>
            <w:rPr>
              <w:b w:val="0"/>
            </w:rPr>
            <w:fldChar w:fldCharType="end"/>
          </w:r>
        </w:p>
        <w:p>
          <w:pPr>
            <w:pStyle w:val="18"/>
            <w:tabs>
              <w:tab w:val="right" w:leader="dot" w:pos="8296"/>
            </w:tabs>
            <w:spacing w:line="480" w:lineRule="exact"/>
            <w:ind w:firstLine="640"/>
            <w:rPr>
              <w:rFonts w:asciiTheme="minorHAnsi" w:hAnsiTheme="minorHAnsi" w:eastAsiaTheme="minorEastAsia"/>
              <w:sz w:val="21"/>
              <w14:ligatures w14:val="none"/>
            </w:rPr>
          </w:pPr>
          <w:r>
            <w:fldChar w:fldCharType="begin"/>
          </w:r>
          <w:r>
            <w:instrText xml:space="preserve"> HYPERLINK \l "_Toc232606919" </w:instrText>
          </w:r>
          <w:r>
            <w:fldChar w:fldCharType="separate"/>
          </w:r>
          <w:r>
            <w:rPr>
              <w:rStyle w:val="26"/>
              <w:rFonts w:ascii="楷体_GB2312" w:hAnsi="楷体_GB2312" w:eastAsia="楷体_GB2312" w:cs="楷体_GB2312"/>
            </w:rPr>
            <w:t>（一）发展基础</w:t>
          </w:r>
          <w:r>
            <w:tab/>
          </w:r>
          <w:r>
            <w:fldChar w:fldCharType="begin"/>
          </w:r>
          <w:r>
            <w:instrText xml:space="preserve"> PAGEREF _Toc232606919 \h </w:instrText>
          </w:r>
          <w:r>
            <w:fldChar w:fldCharType="separate"/>
          </w:r>
          <w:r>
            <w:t>1</w:t>
          </w:r>
          <w:r>
            <w:fldChar w:fldCharType="end"/>
          </w:r>
          <w:r>
            <w:fldChar w:fldCharType="end"/>
          </w:r>
        </w:p>
        <w:p>
          <w:pPr>
            <w:pStyle w:val="18"/>
            <w:tabs>
              <w:tab w:val="right" w:leader="dot" w:pos="8296"/>
            </w:tabs>
            <w:spacing w:line="480" w:lineRule="exact"/>
            <w:ind w:firstLine="640"/>
            <w:rPr>
              <w:rFonts w:asciiTheme="minorHAnsi" w:hAnsiTheme="minorHAnsi" w:eastAsiaTheme="minorEastAsia"/>
              <w:sz w:val="21"/>
              <w14:ligatures w14:val="none"/>
            </w:rPr>
          </w:pPr>
          <w:r>
            <w:fldChar w:fldCharType="begin"/>
          </w:r>
          <w:r>
            <w:instrText xml:space="preserve"> HYPERLINK \l "_Toc232606920" </w:instrText>
          </w:r>
          <w:r>
            <w:fldChar w:fldCharType="separate"/>
          </w:r>
          <w:r>
            <w:rPr>
              <w:rStyle w:val="26"/>
              <w:rFonts w:ascii="楷体_GB2312" w:hAnsi="楷体_GB2312" w:eastAsia="楷体_GB2312" w:cs="楷体_GB2312"/>
            </w:rPr>
            <w:t>（二）形势要求</w:t>
          </w:r>
          <w:r>
            <w:tab/>
          </w:r>
          <w:r>
            <w:fldChar w:fldCharType="begin"/>
          </w:r>
          <w:r>
            <w:instrText xml:space="preserve"> PAGEREF _Toc232606920 \h </w:instrText>
          </w:r>
          <w:r>
            <w:fldChar w:fldCharType="separate"/>
          </w:r>
          <w:r>
            <w:t>2</w:t>
          </w:r>
          <w:r>
            <w:fldChar w:fldCharType="end"/>
          </w:r>
          <w:r>
            <w:fldChar w:fldCharType="end"/>
          </w:r>
        </w:p>
        <w:p>
          <w:pPr>
            <w:pStyle w:val="15"/>
            <w:tabs>
              <w:tab w:val="right" w:leader="dot" w:pos="8296"/>
            </w:tabs>
            <w:spacing w:line="480" w:lineRule="exact"/>
            <w:rPr>
              <w:rFonts w:asciiTheme="minorHAnsi" w:hAnsiTheme="minorHAnsi" w:eastAsiaTheme="minorEastAsia"/>
              <w:b w:val="0"/>
              <w:sz w:val="21"/>
              <w14:ligatures w14:val="none"/>
            </w:rPr>
          </w:pPr>
          <w:r>
            <w:fldChar w:fldCharType="begin"/>
          </w:r>
          <w:r>
            <w:instrText xml:space="preserve"> HYPERLINK \l "_Toc232606921" </w:instrText>
          </w:r>
          <w:r>
            <w:fldChar w:fldCharType="separate"/>
          </w:r>
          <w:r>
            <w:rPr>
              <w:rStyle w:val="26"/>
              <w:rFonts w:ascii="黑体" w:hAnsi="黑体" w:eastAsia="黑体" w:cs="黑体"/>
              <w:b w:val="0"/>
            </w:rPr>
            <w:t>二、总体要求</w:t>
          </w:r>
          <w:r>
            <w:rPr>
              <w:b w:val="0"/>
            </w:rPr>
            <w:tab/>
          </w:r>
          <w:r>
            <w:rPr>
              <w:b w:val="0"/>
            </w:rPr>
            <w:fldChar w:fldCharType="begin"/>
          </w:r>
          <w:r>
            <w:rPr>
              <w:b w:val="0"/>
            </w:rPr>
            <w:instrText xml:space="preserve"> PAGEREF _Toc232606921 \h </w:instrText>
          </w:r>
          <w:r>
            <w:rPr>
              <w:b w:val="0"/>
            </w:rPr>
            <w:fldChar w:fldCharType="separate"/>
          </w:r>
          <w:r>
            <w:rPr>
              <w:b w:val="0"/>
            </w:rPr>
            <w:t>4</w:t>
          </w:r>
          <w:r>
            <w:rPr>
              <w:b w:val="0"/>
            </w:rPr>
            <w:fldChar w:fldCharType="end"/>
          </w:r>
          <w:r>
            <w:rPr>
              <w:b w:val="0"/>
            </w:rPr>
            <w:fldChar w:fldCharType="end"/>
          </w:r>
        </w:p>
        <w:p>
          <w:pPr>
            <w:pStyle w:val="18"/>
            <w:tabs>
              <w:tab w:val="right" w:leader="dot" w:pos="8296"/>
            </w:tabs>
            <w:spacing w:line="480" w:lineRule="exact"/>
            <w:ind w:firstLine="640"/>
            <w:rPr>
              <w:rFonts w:asciiTheme="minorHAnsi" w:hAnsiTheme="minorHAnsi" w:eastAsiaTheme="minorEastAsia"/>
              <w:sz w:val="21"/>
              <w14:ligatures w14:val="none"/>
            </w:rPr>
          </w:pPr>
          <w:r>
            <w:fldChar w:fldCharType="begin"/>
          </w:r>
          <w:r>
            <w:instrText xml:space="preserve"> HYPERLINK \l "_Toc232606922" </w:instrText>
          </w:r>
          <w:r>
            <w:fldChar w:fldCharType="separate"/>
          </w:r>
          <w:r>
            <w:rPr>
              <w:rStyle w:val="26"/>
              <w:rFonts w:ascii="楷体_GB2312" w:hAnsi="楷体_GB2312" w:eastAsia="楷体_GB2312" w:cs="楷体_GB2312"/>
            </w:rPr>
            <w:t>（一）指导思想</w:t>
          </w:r>
          <w:r>
            <w:tab/>
          </w:r>
          <w:r>
            <w:fldChar w:fldCharType="begin"/>
          </w:r>
          <w:r>
            <w:instrText xml:space="preserve"> PAGEREF _Toc232606922 \h </w:instrText>
          </w:r>
          <w:r>
            <w:fldChar w:fldCharType="separate"/>
          </w:r>
          <w:r>
            <w:t>4</w:t>
          </w:r>
          <w:r>
            <w:fldChar w:fldCharType="end"/>
          </w:r>
          <w:r>
            <w:fldChar w:fldCharType="end"/>
          </w:r>
        </w:p>
        <w:p>
          <w:pPr>
            <w:pStyle w:val="18"/>
            <w:tabs>
              <w:tab w:val="right" w:leader="dot" w:pos="8296"/>
            </w:tabs>
            <w:spacing w:line="480" w:lineRule="exact"/>
            <w:ind w:firstLine="640"/>
            <w:rPr>
              <w:rFonts w:asciiTheme="minorHAnsi" w:hAnsiTheme="minorHAnsi" w:eastAsiaTheme="minorEastAsia"/>
              <w:sz w:val="21"/>
              <w14:ligatures w14:val="none"/>
            </w:rPr>
          </w:pPr>
          <w:r>
            <w:fldChar w:fldCharType="begin"/>
          </w:r>
          <w:r>
            <w:instrText xml:space="preserve"> HYPERLINK \l "_Toc232606923" </w:instrText>
          </w:r>
          <w:r>
            <w:fldChar w:fldCharType="separate"/>
          </w:r>
          <w:r>
            <w:rPr>
              <w:rStyle w:val="26"/>
              <w:rFonts w:ascii="楷体_GB2312" w:hAnsi="楷体_GB2312" w:eastAsia="楷体_GB2312" w:cs="楷体_GB2312"/>
            </w:rPr>
            <w:t>（二）基本原则</w:t>
          </w:r>
          <w:r>
            <w:tab/>
          </w:r>
          <w:r>
            <w:fldChar w:fldCharType="begin"/>
          </w:r>
          <w:r>
            <w:instrText xml:space="preserve"> PAGEREF _Toc232606923 \h </w:instrText>
          </w:r>
          <w:r>
            <w:fldChar w:fldCharType="separate"/>
          </w:r>
          <w:r>
            <w:t>4</w:t>
          </w:r>
          <w:r>
            <w:fldChar w:fldCharType="end"/>
          </w:r>
          <w:r>
            <w:fldChar w:fldCharType="end"/>
          </w:r>
        </w:p>
        <w:p>
          <w:pPr>
            <w:pStyle w:val="18"/>
            <w:tabs>
              <w:tab w:val="right" w:leader="dot" w:pos="8296"/>
            </w:tabs>
            <w:spacing w:line="480" w:lineRule="exact"/>
            <w:ind w:firstLine="640"/>
            <w:rPr>
              <w:rFonts w:asciiTheme="minorHAnsi" w:hAnsiTheme="minorHAnsi" w:eastAsiaTheme="minorEastAsia"/>
              <w:sz w:val="21"/>
              <w14:ligatures w14:val="none"/>
            </w:rPr>
          </w:pPr>
          <w:r>
            <w:fldChar w:fldCharType="begin"/>
          </w:r>
          <w:r>
            <w:instrText xml:space="preserve"> HYPERLINK \l "_Toc232606924" </w:instrText>
          </w:r>
          <w:r>
            <w:fldChar w:fldCharType="separate"/>
          </w:r>
          <w:r>
            <w:rPr>
              <w:rStyle w:val="26"/>
              <w:rFonts w:ascii="楷体_GB2312" w:hAnsi="楷体_GB2312" w:eastAsia="楷体_GB2312" w:cs="楷体_GB2312"/>
            </w:rPr>
            <w:t>（三）发展目标</w:t>
          </w:r>
          <w:r>
            <w:tab/>
          </w:r>
          <w:r>
            <w:fldChar w:fldCharType="begin"/>
          </w:r>
          <w:r>
            <w:instrText xml:space="preserve"> PAGEREF _Toc232606924 \h </w:instrText>
          </w:r>
          <w:r>
            <w:fldChar w:fldCharType="separate"/>
          </w:r>
          <w:r>
            <w:t>5</w:t>
          </w:r>
          <w:r>
            <w:fldChar w:fldCharType="end"/>
          </w:r>
          <w:r>
            <w:fldChar w:fldCharType="end"/>
          </w:r>
        </w:p>
        <w:p>
          <w:pPr>
            <w:pStyle w:val="15"/>
            <w:tabs>
              <w:tab w:val="right" w:leader="dot" w:pos="8296"/>
            </w:tabs>
            <w:spacing w:line="480" w:lineRule="exact"/>
            <w:rPr>
              <w:rFonts w:asciiTheme="minorHAnsi" w:hAnsiTheme="minorHAnsi" w:eastAsiaTheme="minorEastAsia"/>
              <w:b w:val="0"/>
              <w:sz w:val="21"/>
              <w14:ligatures w14:val="none"/>
            </w:rPr>
          </w:pPr>
          <w:r>
            <w:fldChar w:fldCharType="begin"/>
          </w:r>
          <w:r>
            <w:instrText xml:space="preserve"> HYPERLINK \l "_Toc232606925" </w:instrText>
          </w:r>
          <w:r>
            <w:fldChar w:fldCharType="separate"/>
          </w:r>
          <w:r>
            <w:rPr>
              <w:rStyle w:val="26"/>
              <w:rFonts w:ascii="黑体" w:hAnsi="黑体" w:eastAsia="黑体" w:cs="黑体"/>
              <w:b w:val="0"/>
            </w:rPr>
            <w:t>三、提升国家综合交通枢纽城市能级</w:t>
          </w:r>
          <w:r>
            <w:rPr>
              <w:b w:val="0"/>
            </w:rPr>
            <w:tab/>
          </w:r>
          <w:r>
            <w:rPr>
              <w:b w:val="0"/>
            </w:rPr>
            <w:fldChar w:fldCharType="begin"/>
          </w:r>
          <w:r>
            <w:rPr>
              <w:b w:val="0"/>
            </w:rPr>
            <w:instrText xml:space="preserve"> PAGEREF _Toc232606925 \h </w:instrText>
          </w:r>
          <w:r>
            <w:rPr>
              <w:b w:val="0"/>
            </w:rPr>
            <w:fldChar w:fldCharType="separate"/>
          </w:r>
          <w:r>
            <w:rPr>
              <w:b w:val="0"/>
            </w:rPr>
            <w:t>7</w:t>
          </w:r>
          <w:r>
            <w:rPr>
              <w:b w:val="0"/>
            </w:rPr>
            <w:fldChar w:fldCharType="end"/>
          </w:r>
          <w:r>
            <w:rPr>
              <w:b w:val="0"/>
            </w:rPr>
            <w:fldChar w:fldCharType="end"/>
          </w:r>
        </w:p>
        <w:p>
          <w:pPr>
            <w:pStyle w:val="18"/>
            <w:tabs>
              <w:tab w:val="right" w:leader="dot" w:pos="8296"/>
            </w:tabs>
            <w:spacing w:line="480" w:lineRule="exact"/>
            <w:ind w:firstLine="640"/>
            <w:rPr>
              <w:rFonts w:asciiTheme="minorHAnsi" w:hAnsiTheme="minorHAnsi" w:eastAsiaTheme="minorEastAsia"/>
              <w:sz w:val="21"/>
              <w14:ligatures w14:val="none"/>
            </w:rPr>
          </w:pPr>
          <w:r>
            <w:fldChar w:fldCharType="begin"/>
          </w:r>
          <w:r>
            <w:instrText xml:space="preserve"> HYPERLINK \l "_Toc232606926" </w:instrText>
          </w:r>
          <w:r>
            <w:fldChar w:fldCharType="separate"/>
          </w:r>
          <w:r>
            <w:rPr>
              <w:rStyle w:val="26"/>
              <w:rFonts w:ascii="楷体_GB2312" w:hAnsi="楷体_GB2312" w:eastAsia="楷体_GB2312" w:cs="楷体_GB2312"/>
            </w:rPr>
            <w:t>（一）完善综合立体交通网布局</w:t>
          </w:r>
          <w:r>
            <w:tab/>
          </w:r>
          <w:r>
            <w:fldChar w:fldCharType="begin"/>
          </w:r>
          <w:r>
            <w:instrText xml:space="preserve"> PAGEREF _Toc232606926 \h </w:instrText>
          </w:r>
          <w:r>
            <w:fldChar w:fldCharType="separate"/>
          </w:r>
          <w:r>
            <w:t>7</w:t>
          </w:r>
          <w:r>
            <w:fldChar w:fldCharType="end"/>
          </w:r>
          <w:r>
            <w:fldChar w:fldCharType="end"/>
          </w:r>
        </w:p>
        <w:p>
          <w:pPr>
            <w:pStyle w:val="18"/>
            <w:tabs>
              <w:tab w:val="right" w:leader="dot" w:pos="8296"/>
            </w:tabs>
            <w:spacing w:line="480" w:lineRule="exact"/>
            <w:ind w:firstLine="640"/>
            <w:rPr>
              <w:rFonts w:asciiTheme="minorHAnsi" w:hAnsiTheme="minorHAnsi" w:eastAsiaTheme="minorEastAsia"/>
              <w:sz w:val="21"/>
              <w14:ligatures w14:val="none"/>
            </w:rPr>
          </w:pPr>
          <w:r>
            <w:fldChar w:fldCharType="begin"/>
          </w:r>
          <w:r>
            <w:instrText xml:space="preserve"> HYPERLINK \l "_Toc232606927" </w:instrText>
          </w:r>
          <w:r>
            <w:fldChar w:fldCharType="separate"/>
          </w:r>
          <w:r>
            <w:rPr>
              <w:rStyle w:val="26"/>
              <w:rFonts w:ascii="楷体_GB2312" w:hAnsi="楷体_GB2312" w:eastAsia="楷体_GB2312" w:cs="楷体_GB2312"/>
            </w:rPr>
            <w:t>（二）强化东北海陆大通道建设</w:t>
          </w:r>
          <w:r>
            <w:tab/>
          </w:r>
          <w:r>
            <w:fldChar w:fldCharType="begin"/>
          </w:r>
          <w:r>
            <w:instrText xml:space="preserve"> PAGEREF _Toc232606927 \h </w:instrText>
          </w:r>
          <w:r>
            <w:fldChar w:fldCharType="separate"/>
          </w:r>
          <w:r>
            <w:t>8</w:t>
          </w:r>
          <w:r>
            <w:fldChar w:fldCharType="end"/>
          </w:r>
          <w:r>
            <w:fldChar w:fldCharType="end"/>
          </w:r>
        </w:p>
        <w:p>
          <w:pPr>
            <w:pStyle w:val="18"/>
            <w:tabs>
              <w:tab w:val="right" w:leader="dot" w:pos="8296"/>
            </w:tabs>
            <w:spacing w:line="480" w:lineRule="exact"/>
            <w:ind w:firstLine="640"/>
            <w:rPr>
              <w:rFonts w:asciiTheme="minorHAnsi" w:hAnsiTheme="minorHAnsi" w:eastAsiaTheme="minorEastAsia"/>
              <w:sz w:val="21"/>
              <w14:ligatures w14:val="none"/>
            </w:rPr>
          </w:pPr>
          <w:r>
            <w:fldChar w:fldCharType="begin"/>
          </w:r>
          <w:r>
            <w:instrText xml:space="preserve"> HYPERLINK \l "_Toc232606928" </w:instrText>
          </w:r>
          <w:r>
            <w:fldChar w:fldCharType="separate"/>
          </w:r>
          <w:r>
            <w:rPr>
              <w:rStyle w:val="26"/>
              <w:rFonts w:ascii="楷体_GB2312" w:hAnsi="楷体_GB2312" w:eastAsia="楷体_GB2312" w:cs="楷体_GB2312"/>
            </w:rPr>
            <w:t>（三）加快全国一流枢纽</w:t>
          </w:r>
          <w:r>
            <w:rPr>
              <w:rStyle w:val="26"/>
              <w:rFonts w:hint="eastAsia" w:ascii="楷体_GB2312" w:hAnsi="楷体_GB2312" w:eastAsia="楷体_GB2312" w:cs="楷体_GB2312"/>
            </w:rPr>
            <w:t>强港</w:t>
          </w:r>
          <w:r>
            <w:rPr>
              <w:rStyle w:val="26"/>
              <w:rFonts w:ascii="楷体_GB2312" w:hAnsi="楷体_GB2312" w:eastAsia="楷体_GB2312" w:cs="楷体_GB2312"/>
            </w:rPr>
            <w:t>建设</w:t>
          </w:r>
          <w:r>
            <w:tab/>
          </w:r>
          <w:r>
            <w:fldChar w:fldCharType="begin"/>
          </w:r>
          <w:r>
            <w:instrText xml:space="preserve"> PAGEREF _Toc232606928 \h </w:instrText>
          </w:r>
          <w:r>
            <w:fldChar w:fldCharType="separate"/>
          </w:r>
          <w:r>
            <w:t>9</w:t>
          </w:r>
          <w:r>
            <w:fldChar w:fldCharType="end"/>
          </w:r>
          <w:r>
            <w:fldChar w:fldCharType="end"/>
          </w:r>
        </w:p>
        <w:p>
          <w:pPr>
            <w:pStyle w:val="18"/>
            <w:tabs>
              <w:tab w:val="right" w:leader="dot" w:pos="8296"/>
            </w:tabs>
            <w:spacing w:line="480" w:lineRule="exact"/>
            <w:ind w:firstLine="640"/>
            <w:rPr>
              <w:rFonts w:asciiTheme="minorHAnsi" w:hAnsiTheme="minorHAnsi" w:eastAsiaTheme="minorEastAsia"/>
              <w:sz w:val="21"/>
              <w14:ligatures w14:val="none"/>
            </w:rPr>
          </w:pPr>
          <w:r>
            <w:fldChar w:fldCharType="begin"/>
          </w:r>
          <w:r>
            <w:instrText xml:space="preserve"> HYPERLINK \l "_Toc232606929" </w:instrText>
          </w:r>
          <w:r>
            <w:fldChar w:fldCharType="separate"/>
          </w:r>
          <w:r>
            <w:rPr>
              <w:rStyle w:val="26"/>
              <w:rFonts w:ascii="楷体_GB2312" w:hAnsi="楷体_GB2312" w:eastAsia="楷体_GB2312" w:cs="楷体_GB2312"/>
            </w:rPr>
            <w:t>（四）推动区域枢纽机场建设</w:t>
          </w:r>
          <w:r>
            <w:tab/>
          </w:r>
          <w:r>
            <w:fldChar w:fldCharType="begin"/>
          </w:r>
          <w:r>
            <w:instrText xml:space="preserve"> PAGEREF _Toc232606929 \h </w:instrText>
          </w:r>
          <w:r>
            <w:fldChar w:fldCharType="separate"/>
          </w:r>
          <w:r>
            <w:t>11</w:t>
          </w:r>
          <w:r>
            <w:fldChar w:fldCharType="end"/>
          </w:r>
          <w:r>
            <w:fldChar w:fldCharType="end"/>
          </w:r>
        </w:p>
        <w:p>
          <w:pPr>
            <w:pStyle w:val="18"/>
            <w:tabs>
              <w:tab w:val="right" w:leader="dot" w:pos="8296"/>
            </w:tabs>
            <w:spacing w:line="480" w:lineRule="exact"/>
            <w:ind w:firstLine="640"/>
            <w:rPr>
              <w:rFonts w:asciiTheme="minorHAnsi" w:hAnsiTheme="minorHAnsi" w:eastAsiaTheme="minorEastAsia"/>
              <w:sz w:val="21"/>
              <w14:ligatures w14:val="none"/>
            </w:rPr>
          </w:pPr>
          <w:r>
            <w:fldChar w:fldCharType="begin"/>
          </w:r>
          <w:r>
            <w:instrText xml:space="preserve"> HYPERLINK \l "_Toc232606930" </w:instrText>
          </w:r>
          <w:r>
            <w:fldChar w:fldCharType="separate"/>
          </w:r>
          <w:r>
            <w:rPr>
              <w:rStyle w:val="26"/>
              <w:rFonts w:ascii="楷体_GB2312" w:hAnsi="楷体_GB2312" w:eastAsia="楷体_GB2312" w:cs="楷体_GB2312"/>
            </w:rPr>
            <w:t>（五）完善综合交通枢纽体系</w:t>
          </w:r>
          <w:r>
            <w:rPr>
              <w:rStyle w:val="26"/>
              <w:rFonts w:hint="eastAsia" w:ascii="楷体_GB2312" w:hAnsi="楷体_GB2312" w:eastAsia="楷体_GB2312" w:cs="楷体_GB2312"/>
            </w:rPr>
            <w:t>建设</w:t>
          </w:r>
          <w:r>
            <w:tab/>
          </w:r>
          <w:r>
            <w:fldChar w:fldCharType="begin"/>
          </w:r>
          <w:r>
            <w:instrText xml:space="preserve"> PAGEREF _Toc232606930 \h </w:instrText>
          </w:r>
          <w:r>
            <w:fldChar w:fldCharType="separate"/>
          </w:r>
          <w:r>
            <w:t>12</w:t>
          </w:r>
          <w:r>
            <w:fldChar w:fldCharType="end"/>
          </w:r>
          <w:r>
            <w:fldChar w:fldCharType="end"/>
          </w:r>
        </w:p>
        <w:p>
          <w:pPr>
            <w:pStyle w:val="15"/>
            <w:tabs>
              <w:tab w:val="right" w:leader="dot" w:pos="8296"/>
            </w:tabs>
            <w:spacing w:line="480" w:lineRule="exact"/>
            <w:rPr>
              <w:rFonts w:asciiTheme="minorHAnsi" w:hAnsiTheme="minorHAnsi" w:eastAsiaTheme="minorEastAsia"/>
              <w:b w:val="0"/>
              <w:sz w:val="21"/>
              <w14:ligatures w14:val="none"/>
            </w:rPr>
          </w:pPr>
          <w:r>
            <w:fldChar w:fldCharType="begin"/>
          </w:r>
          <w:r>
            <w:instrText xml:space="preserve"> HYPERLINK \l "_Toc232606931" </w:instrText>
          </w:r>
          <w:r>
            <w:fldChar w:fldCharType="separate"/>
          </w:r>
          <w:r>
            <w:rPr>
              <w:rStyle w:val="26"/>
              <w:rFonts w:ascii="黑体" w:hAnsi="黑体" w:eastAsia="黑体" w:cs="黑体"/>
              <w:b w:val="0"/>
            </w:rPr>
            <w:t>四、推动综合交通网络高效覆盖联通</w:t>
          </w:r>
          <w:r>
            <w:rPr>
              <w:b w:val="0"/>
            </w:rPr>
            <w:tab/>
          </w:r>
          <w:r>
            <w:rPr>
              <w:b w:val="0"/>
            </w:rPr>
            <w:fldChar w:fldCharType="begin"/>
          </w:r>
          <w:r>
            <w:rPr>
              <w:b w:val="0"/>
            </w:rPr>
            <w:instrText xml:space="preserve"> PAGEREF _Toc232606931 \h </w:instrText>
          </w:r>
          <w:r>
            <w:rPr>
              <w:b w:val="0"/>
            </w:rPr>
            <w:fldChar w:fldCharType="separate"/>
          </w:r>
          <w:r>
            <w:rPr>
              <w:b w:val="0"/>
            </w:rPr>
            <w:t>13</w:t>
          </w:r>
          <w:r>
            <w:rPr>
              <w:b w:val="0"/>
            </w:rPr>
            <w:fldChar w:fldCharType="end"/>
          </w:r>
          <w:r>
            <w:rPr>
              <w:b w:val="0"/>
            </w:rPr>
            <w:fldChar w:fldCharType="end"/>
          </w:r>
        </w:p>
        <w:p>
          <w:pPr>
            <w:pStyle w:val="18"/>
            <w:tabs>
              <w:tab w:val="right" w:leader="dot" w:pos="8296"/>
            </w:tabs>
            <w:spacing w:line="480" w:lineRule="exact"/>
            <w:ind w:firstLine="640"/>
            <w:rPr>
              <w:rFonts w:asciiTheme="minorHAnsi" w:hAnsiTheme="minorHAnsi" w:eastAsiaTheme="minorEastAsia"/>
              <w:sz w:val="21"/>
              <w14:ligatures w14:val="none"/>
            </w:rPr>
          </w:pPr>
          <w:r>
            <w:fldChar w:fldCharType="begin"/>
          </w:r>
          <w:r>
            <w:instrText xml:space="preserve"> HYPERLINK \l "_Toc232606932" </w:instrText>
          </w:r>
          <w:r>
            <w:fldChar w:fldCharType="separate"/>
          </w:r>
          <w:r>
            <w:rPr>
              <w:rStyle w:val="26"/>
              <w:rFonts w:ascii="楷体_GB2312" w:hAnsi="楷体_GB2312" w:eastAsia="楷体_GB2312" w:cs="楷体_GB2312"/>
            </w:rPr>
            <w:t>（一）推动铁路网络补网强链</w:t>
          </w:r>
          <w:r>
            <w:tab/>
          </w:r>
          <w:r>
            <w:fldChar w:fldCharType="begin"/>
          </w:r>
          <w:r>
            <w:instrText xml:space="preserve"> PAGEREF _Toc232606932 \h </w:instrText>
          </w:r>
          <w:r>
            <w:fldChar w:fldCharType="separate"/>
          </w:r>
          <w:r>
            <w:t>13</w:t>
          </w:r>
          <w:r>
            <w:fldChar w:fldCharType="end"/>
          </w:r>
          <w:r>
            <w:fldChar w:fldCharType="end"/>
          </w:r>
        </w:p>
        <w:p>
          <w:pPr>
            <w:pStyle w:val="18"/>
            <w:tabs>
              <w:tab w:val="right" w:leader="dot" w:pos="8296"/>
            </w:tabs>
            <w:spacing w:line="480" w:lineRule="exact"/>
            <w:ind w:firstLine="640"/>
            <w:rPr>
              <w:rFonts w:asciiTheme="minorHAnsi" w:hAnsiTheme="minorHAnsi" w:eastAsiaTheme="minorEastAsia"/>
              <w:sz w:val="21"/>
              <w14:ligatures w14:val="none"/>
            </w:rPr>
          </w:pPr>
          <w:r>
            <w:fldChar w:fldCharType="begin"/>
          </w:r>
          <w:r>
            <w:instrText xml:space="preserve"> HYPERLINK \l "_Toc232606933" </w:instrText>
          </w:r>
          <w:r>
            <w:fldChar w:fldCharType="separate"/>
          </w:r>
          <w:r>
            <w:rPr>
              <w:rStyle w:val="26"/>
              <w:rFonts w:ascii="楷体_GB2312" w:hAnsi="楷体_GB2312" w:eastAsia="楷体_GB2312" w:cs="楷体_GB2312"/>
            </w:rPr>
            <w:t>（二）推动公路网络互联互通</w:t>
          </w:r>
          <w:r>
            <w:tab/>
          </w:r>
          <w:r>
            <w:fldChar w:fldCharType="begin"/>
          </w:r>
          <w:r>
            <w:instrText xml:space="preserve"> PAGEREF _Toc232606933 \h </w:instrText>
          </w:r>
          <w:r>
            <w:fldChar w:fldCharType="separate"/>
          </w:r>
          <w:r>
            <w:t>13</w:t>
          </w:r>
          <w:r>
            <w:fldChar w:fldCharType="end"/>
          </w:r>
          <w:r>
            <w:fldChar w:fldCharType="end"/>
          </w:r>
        </w:p>
        <w:p>
          <w:pPr>
            <w:pStyle w:val="18"/>
            <w:tabs>
              <w:tab w:val="right" w:leader="dot" w:pos="8296"/>
            </w:tabs>
            <w:spacing w:line="480" w:lineRule="exact"/>
            <w:ind w:firstLine="640"/>
            <w:rPr>
              <w:rFonts w:asciiTheme="minorHAnsi" w:hAnsiTheme="minorHAnsi" w:eastAsiaTheme="minorEastAsia"/>
              <w:sz w:val="21"/>
              <w14:ligatures w14:val="none"/>
            </w:rPr>
          </w:pPr>
          <w:r>
            <w:fldChar w:fldCharType="begin"/>
          </w:r>
          <w:r>
            <w:instrText xml:space="preserve"> HYPERLINK \l "_Toc232606934" </w:instrText>
          </w:r>
          <w:r>
            <w:fldChar w:fldCharType="separate"/>
          </w:r>
          <w:r>
            <w:rPr>
              <w:rStyle w:val="26"/>
              <w:rFonts w:ascii="楷体_GB2312" w:hAnsi="楷体_GB2312" w:eastAsia="楷体_GB2312" w:cs="楷体_GB2312"/>
            </w:rPr>
            <w:t>（三）提升基础设施养护效能</w:t>
          </w:r>
          <w:r>
            <w:tab/>
          </w:r>
          <w:r>
            <w:fldChar w:fldCharType="begin"/>
          </w:r>
          <w:r>
            <w:instrText xml:space="preserve"> PAGEREF _Toc232606934 \h </w:instrText>
          </w:r>
          <w:r>
            <w:fldChar w:fldCharType="separate"/>
          </w:r>
          <w:r>
            <w:t>14</w:t>
          </w:r>
          <w:r>
            <w:fldChar w:fldCharType="end"/>
          </w:r>
          <w:r>
            <w:fldChar w:fldCharType="end"/>
          </w:r>
        </w:p>
        <w:p>
          <w:pPr>
            <w:pStyle w:val="15"/>
            <w:tabs>
              <w:tab w:val="right" w:leader="dot" w:pos="8296"/>
            </w:tabs>
            <w:spacing w:line="480" w:lineRule="exact"/>
            <w:rPr>
              <w:rFonts w:asciiTheme="minorHAnsi" w:hAnsiTheme="minorHAnsi" w:eastAsiaTheme="minorEastAsia"/>
              <w:b w:val="0"/>
              <w:sz w:val="21"/>
              <w14:ligatures w14:val="none"/>
            </w:rPr>
          </w:pPr>
          <w:r>
            <w:fldChar w:fldCharType="begin"/>
          </w:r>
          <w:r>
            <w:instrText xml:space="preserve"> HYPERLINK \l "_Toc232606935" </w:instrText>
          </w:r>
          <w:r>
            <w:fldChar w:fldCharType="separate"/>
          </w:r>
          <w:r>
            <w:rPr>
              <w:rStyle w:val="26"/>
              <w:rFonts w:ascii="黑体" w:hAnsi="黑体" w:eastAsia="黑体" w:cs="黑体"/>
              <w:b w:val="0"/>
            </w:rPr>
            <w:t>五、全面提升旅客出行服务品质</w:t>
          </w:r>
          <w:r>
            <w:rPr>
              <w:b w:val="0"/>
            </w:rPr>
            <w:tab/>
          </w:r>
          <w:r>
            <w:rPr>
              <w:b w:val="0"/>
            </w:rPr>
            <w:fldChar w:fldCharType="begin"/>
          </w:r>
          <w:r>
            <w:rPr>
              <w:b w:val="0"/>
            </w:rPr>
            <w:instrText xml:space="preserve"> PAGEREF _Toc232606935 \h </w:instrText>
          </w:r>
          <w:r>
            <w:rPr>
              <w:b w:val="0"/>
            </w:rPr>
            <w:fldChar w:fldCharType="separate"/>
          </w:r>
          <w:r>
            <w:rPr>
              <w:b w:val="0"/>
            </w:rPr>
            <w:t>15</w:t>
          </w:r>
          <w:r>
            <w:rPr>
              <w:b w:val="0"/>
            </w:rPr>
            <w:fldChar w:fldCharType="end"/>
          </w:r>
          <w:r>
            <w:rPr>
              <w:b w:val="0"/>
            </w:rPr>
            <w:fldChar w:fldCharType="end"/>
          </w:r>
        </w:p>
        <w:p>
          <w:pPr>
            <w:pStyle w:val="18"/>
            <w:tabs>
              <w:tab w:val="right" w:leader="dot" w:pos="8296"/>
            </w:tabs>
            <w:spacing w:line="480" w:lineRule="exact"/>
            <w:ind w:firstLine="640"/>
            <w:rPr>
              <w:rFonts w:asciiTheme="minorHAnsi" w:hAnsiTheme="minorHAnsi" w:eastAsiaTheme="minorEastAsia"/>
              <w:sz w:val="21"/>
              <w14:ligatures w14:val="none"/>
            </w:rPr>
          </w:pPr>
          <w:r>
            <w:fldChar w:fldCharType="begin"/>
          </w:r>
          <w:r>
            <w:instrText xml:space="preserve"> HYPERLINK \l "_Toc232606936" </w:instrText>
          </w:r>
          <w:r>
            <w:fldChar w:fldCharType="separate"/>
          </w:r>
          <w:r>
            <w:rPr>
              <w:rStyle w:val="26"/>
              <w:rFonts w:ascii="楷体_GB2312" w:hAnsi="楷体_GB2312" w:eastAsia="楷体_GB2312" w:cs="楷体_GB2312"/>
            </w:rPr>
            <w:t>（一）推进旅客联程运输发展</w:t>
          </w:r>
          <w:r>
            <w:tab/>
          </w:r>
          <w:r>
            <w:fldChar w:fldCharType="begin"/>
          </w:r>
          <w:r>
            <w:instrText xml:space="preserve"> PAGEREF _Toc232606936 \h </w:instrText>
          </w:r>
          <w:r>
            <w:fldChar w:fldCharType="separate"/>
          </w:r>
          <w:r>
            <w:t>15</w:t>
          </w:r>
          <w:r>
            <w:fldChar w:fldCharType="end"/>
          </w:r>
          <w:r>
            <w:fldChar w:fldCharType="end"/>
          </w:r>
        </w:p>
        <w:p>
          <w:pPr>
            <w:pStyle w:val="18"/>
            <w:tabs>
              <w:tab w:val="right" w:leader="dot" w:pos="8296"/>
            </w:tabs>
            <w:spacing w:line="480" w:lineRule="exact"/>
            <w:ind w:firstLine="640"/>
            <w:rPr>
              <w:rFonts w:asciiTheme="minorHAnsi" w:hAnsiTheme="minorHAnsi" w:eastAsiaTheme="minorEastAsia"/>
              <w:sz w:val="21"/>
              <w14:ligatures w14:val="none"/>
            </w:rPr>
          </w:pPr>
          <w:r>
            <w:fldChar w:fldCharType="begin"/>
          </w:r>
          <w:r>
            <w:instrText xml:space="preserve"> HYPERLINK \l "_Toc232606937" </w:instrText>
          </w:r>
          <w:r>
            <w:fldChar w:fldCharType="separate"/>
          </w:r>
          <w:r>
            <w:rPr>
              <w:rStyle w:val="26"/>
              <w:rFonts w:ascii="楷体_GB2312" w:hAnsi="楷体_GB2312" w:eastAsia="楷体_GB2312" w:cs="楷体_GB2312"/>
            </w:rPr>
            <w:t>（二）提升城际客运服务水平</w:t>
          </w:r>
          <w:r>
            <w:tab/>
          </w:r>
          <w:r>
            <w:fldChar w:fldCharType="begin"/>
          </w:r>
          <w:r>
            <w:instrText xml:space="preserve"> PAGEREF _Toc232606937 \h </w:instrText>
          </w:r>
          <w:r>
            <w:fldChar w:fldCharType="separate"/>
          </w:r>
          <w:r>
            <w:t>15</w:t>
          </w:r>
          <w:r>
            <w:fldChar w:fldCharType="end"/>
          </w:r>
          <w:r>
            <w:fldChar w:fldCharType="end"/>
          </w:r>
        </w:p>
        <w:p>
          <w:pPr>
            <w:pStyle w:val="18"/>
            <w:tabs>
              <w:tab w:val="right" w:leader="dot" w:pos="8296"/>
            </w:tabs>
            <w:spacing w:line="480" w:lineRule="exact"/>
            <w:ind w:firstLine="640"/>
            <w:rPr>
              <w:rFonts w:asciiTheme="minorHAnsi" w:hAnsiTheme="minorHAnsi" w:eastAsiaTheme="minorEastAsia"/>
              <w:sz w:val="21"/>
              <w14:ligatures w14:val="none"/>
            </w:rPr>
          </w:pPr>
          <w:r>
            <w:fldChar w:fldCharType="begin"/>
          </w:r>
          <w:r>
            <w:instrText xml:space="preserve"> HYPERLINK \l "_Toc232606938" </w:instrText>
          </w:r>
          <w:r>
            <w:fldChar w:fldCharType="separate"/>
          </w:r>
          <w:r>
            <w:rPr>
              <w:rStyle w:val="26"/>
              <w:rFonts w:ascii="楷体_GB2312" w:hAnsi="楷体_GB2312" w:eastAsia="楷体_GB2312" w:cs="楷体_GB2312"/>
            </w:rPr>
            <w:t>（三）提升城市客运服务品质</w:t>
          </w:r>
          <w:r>
            <w:tab/>
          </w:r>
          <w:r>
            <w:fldChar w:fldCharType="begin"/>
          </w:r>
          <w:r>
            <w:instrText xml:space="preserve"> PAGEREF _Toc232606938 \h </w:instrText>
          </w:r>
          <w:r>
            <w:fldChar w:fldCharType="separate"/>
          </w:r>
          <w:r>
            <w:t>15</w:t>
          </w:r>
          <w:r>
            <w:fldChar w:fldCharType="end"/>
          </w:r>
          <w:r>
            <w:fldChar w:fldCharType="end"/>
          </w:r>
        </w:p>
        <w:p>
          <w:pPr>
            <w:pStyle w:val="18"/>
            <w:tabs>
              <w:tab w:val="right" w:leader="dot" w:pos="8296"/>
            </w:tabs>
            <w:spacing w:line="480" w:lineRule="exact"/>
            <w:ind w:firstLine="640"/>
            <w:rPr>
              <w:rFonts w:asciiTheme="minorHAnsi" w:hAnsiTheme="minorHAnsi" w:eastAsiaTheme="minorEastAsia"/>
              <w:sz w:val="21"/>
              <w14:ligatures w14:val="none"/>
            </w:rPr>
          </w:pPr>
          <w:r>
            <w:fldChar w:fldCharType="begin"/>
          </w:r>
          <w:r>
            <w:instrText xml:space="preserve"> HYPERLINK \l "_Toc232606939" </w:instrText>
          </w:r>
          <w:r>
            <w:fldChar w:fldCharType="separate"/>
          </w:r>
          <w:r>
            <w:rPr>
              <w:rStyle w:val="26"/>
              <w:rFonts w:ascii="楷体_GB2312" w:hAnsi="楷体_GB2312" w:eastAsia="楷体_GB2312" w:cs="楷体_GB2312"/>
            </w:rPr>
            <w:t>（四）推进城乡客运便捷均等发展</w:t>
          </w:r>
          <w:r>
            <w:tab/>
          </w:r>
          <w:r>
            <w:fldChar w:fldCharType="begin"/>
          </w:r>
          <w:r>
            <w:instrText xml:space="preserve"> PAGEREF _Toc232606939 \h </w:instrText>
          </w:r>
          <w:r>
            <w:fldChar w:fldCharType="separate"/>
          </w:r>
          <w:r>
            <w:t>15</w:t>
          </w:r>
          <w:r>
            <w:fldChar w:fldCharType="end"/>
          </w:r>
          <w:r>
            <w:fldChar w:fldCharType="end"/>
          </w:r>
        </w:p>
        <w:p>
          <w:pPr>
            <w:pStyle w:val="15"/>
            <w:tabs>
              <w:tab w:val="right" w:leader="dot" w:pos="8296"/>
            </w:tabs>
            <w:spacing w:line="480" w:lineRule="exact"/>
            <w:rPr>
              <w:rFonts w:asciiTheme="minorHAnsi" w:hAnsiTheme="minorHAnsi" w:eastAsiaTheme="minorEastAsia"/>
              <w:b w:val="0"/>
              <w:sz w:val="21"/>
              <w14:ligatures w14:val="none"/>
            </w:rPr>
          </w:pPr>
          <w:r>
            <w:fldChar w:fldCharType="begin"/>
          </w:r>
          <w:r>
            <w:instrText xml:space="preserve"> HYPERLINK \l "_Toc232606940" </w:instrText>
          </w:r>
          <w:r>
            <w:fldChar w:fldCharType="separate"/>
          </w:r>
          <w:r>
            <w:rPr>
              <w:rStyle w:val="26"/>
              <w:rFonts w:ascii="黑体" w:hAnsi="黑体" w:eastAsia="黑体" w:cs="黑体"/>
              <w:b w:val="0"/>
            </w:rPr>
            <w:t>六、推动交通物流降本提质增效</w:t>
          </w:r>
          <w:r>
            <w:rPr>
              <w:b w:val="0"/>
            </w:rPr>
            <w:tab/>
          </w:r>
          <w:r>
            <w:rPr>
              <w:b w:val="0"/>
            </w:rPr>
            <w:fldChar w:fldCharType="begin"/>
          </w:r>
          <w:r>
            <w:rPr>
              <w:b w:val="0"/>
            </w:rPr>
            <w:instrText xml:space="preserve"> PAGEREF _Toc232606940 \h </w:instrText>
          </w:r>
          <w:r>
            <w:rPr>
              <w:b w:val="0"/>
            </w:rPr>
            <w:fldChar w:fldCharType="separate"/>
          </w:r>
          <w:r>
            <w:rPr>
              <w:b w:val="0"/>
            </w:rPr>
            <w:t>16</w:t>
          </w:r>
          <w:r>
            <w:rPr>
              <w:b w:val="0"/>
            </w:rPr>
            <w:fldChar w:fldCharType="end"/>
          </w:r>
          <w:r>
            <w:rPr>
              <w:b w:val="0"/>
            </w:rPr>
            <w:fldChar w:fldCharType="end"/>
          </w:r>
        </w:p>
        <w:p>
          <w:pPr>
            <w:pStyle w:val="18"/>
            <w:tabs>
              <w:tab w:val="right" w:leader="dot" w:pos="8296"/>
            </w:tabs>
            <w:spacing w:line="480" w:lineRule="exact"/>
            <w:ind w:firstLine="640"/>
            <w:rPr>
              <w:rFonts w:asciiTheme="minorHAnsi" w:hAnsiTheme="minorHAnsi" w:eastAsiaTheme="minorEastAsia"/>
              <w:sz w:val="21"/>
              <w14:ligatures w14:val="none"/>
            </w:rPr>
          </w:pPr>
          <w:r>
            <w:fldChar w:fldCharType="begin"/>
          </w:r>
          <w:r>
            <w:instrText xml:space="preserve"> HYPERLINK \l "_Toc232606941" </w:instrText>
          </w:r>
          <w:r>
            <w:fldChar w:fldCharType="separate"/>
          </w:r>
          <w:r>
            <w:rPr>
              <w:rStyle w:val="26"/>
              <w:rFonts w:ascii="楷体_GB2312" w:hAnsi="楷体_GB2312" w:eastAsia="楷体_GB2312" w:cs="楷体_GB2312"/>
            </w:rPr>
            <w:t>（一）深入推进运输结构调整优化</w:t>
          </w:r>
          <w:r>
            <w:tab/>
          </w:r>
          <w:r>
            <w:fldChar w:fldCharType="begin"/>
          </w:r>
          <w:r>
            <w:instrText xml:space="preserve"> PAGEREF _Toc232606941 \h </w:instrText>
          </w:r>
          <w:r>
            <w:fldChar w:fldCharType="separate"/>
          </w:r>
          <w:r>
            <w:t>16</w:t>
          </w:r>
          <w:r>
            <w:fldChar w:fldCharType="end"/>
          </w:r>
          <w:r>
            <w:fldChar w:fldCharType="end"/>
          </w:r>
        </w:p>
        <w:p>
          <w:pPr>
            <w:pStyle w:val="18"/>
            <w:tabs>
              <w:tab w:val="right" w:leader="dot" w:pos="8296"/>
            </w:tabs>
            <w:spacing w:line="480" w:lineRule="exact"/>
            <w:ind w:firstLine="640"/>
            <w:rPr>
              <w:rFonts w:asciiTheme="minorHAnsi" w:hAnsiTheme="minorHAnsi" w:eastAsiaTheme="minorEastAsia"/>
              <w:sz w:val="21"/>
              <w14:ligatures w14:val="none"/>
            </w:rPr>
          </w:pPr>
          <w:r>
            <w:fldChar w:fldCharType="begin"/>
          </w:r>
          <w:r>
            <w:instrText xml:space="preserve"> HYPERLINK \l "_Toc232606942" </w:instrText>
          </w:r>
          <w:r>
            <w:fldChar w:fldCharType="separate"/>
          </w:r>
          <w:r>
            <w:rPr>
              <w:rStyle w:val="26"/>
              <w:rFonts w:ascii="楷体_GB2312" w:hAnsi="楷体_GB2312" w:eastAsia="楷体_GB2312" w:cs="楷体_GB2312"/>
            </w:rPr>
            <w:t>（二）推动多式联运高质量发展</w:t>
          </w:r>
          <w:r>
            <w:tab/>
          </w:r>
          <w:r>
            <w:fldChar w:fldCharType="begin"/>
          </w:r>
          <w:r>
            <w:instrText xml:space="preserve"> PAGEREF _Toc232606942 \h </w:instrText>
          </w:r>
          <w:r>
            <w:fldChar w:fldCharType="separate"/>
          </w:r>
          <w:r>
            <w:t>16</w:t>
          </w:r>
          <w:r>
            <w:fldChar w:fldCharType="end"/>
          </w:r>
          <w:r>
            <w:fldChar w:fldCharType="end"/>
          </w:r>
        </w:p>
        <w:p>
          <w:pPr>
            <w:pStyle w:val="18"/>
            <w:tabs>
              <w:tab w:val="right" w:leader="dot" w:pos="8296"/>
            </w:tabs>
            <w:spacing w:line="480" w:lineRule="exact"/>
            <w:ind w:firstLine="640"/>
            <w:rPr>
              <w:rFonts w:asciiTheme="minorHAnsi" w:hAnsiTheme="minorHAnsi" w:eastAsiaTheme="minorEastAsia"/>
              <w:sz w:val="21"/>
              <w14:ligatures w14:val="none"/>
            </w:rPr>
          </w:pPr>
          <w:r>
            <w:fldChar w:fldCharType="begin"/>
          </w:r>
          <w:r>
            <w:instrText xml:space="preserve"> HYPERLINK \l "_Toc232606943" </w:instrText>
          </w:r>
          <w:r>
            <w:fldChar w:fldCharType="separate"/>
          </w:r>
          <w:r>
            <w:rPr>
              <w:rStyle w:val="26"/>
              <w:rFonts w:ascii="楷体_GB2312" w:hAnsi="楷体_GB2312" w:eastAsia="楷体_GB2312" w:cs="楷体_GB2312"/>
            </w:rPr>
            <w:t>（三）推动货运物流集约高效发展</w:t>
          </w:r>
          <w:r>
            <w:tab/>
          </w:r>
          <w:r>
            <w:fldChar w:fldCharType="begin"/>
          </w:r>
          <w:r>
            <w:instrText xml:space="preserve"> PAGEREF _Toc232606943 \h </w:instrText>
          </w:r>
          <w:r>
            <w:fldChar w:fldCharType="separate"/>
          </w:r>
          <w:r>
            <w:t>17</w:t>
          </w:r>
          <w:r>
            <w:fldChar w:fldCharType="end"/>
          </w:r>
          <w:r>
            <w:fldChar w:fldCharType="end"/>
          </w:r>
        </w:p>
        <w:p>
          <w:pPr>
            <w:pStyle w:val="18"/>
            <w:tabs>
              <w:tab w:val="right" w:leader="dot" w:pos="8296"/>
            </w:tabs>
            <w:spacing w:line="480" w:lineRule="exact"/>
            <w:ind w:firstLine="640"/>
            <w:rPr>
              <w:rFonts w:asciiTheme="minorHAnsi" w:hAnsiTheme="minorHAnsi" w:eastAsiaTheme="minorEastAsia"/>
              <w:sz w:val="21"/>
              <w14:ligatures w14:val="none"/>
            </w:rPr>
          </w:pPr>
          <w:r>
            <w:fldChar w:fldCharType="begin"/>
          </w:r>
          <w:r>
            <w:instrText xml:space="preserve"> HYPERLINK \l "_Toc232606944" </w:instrText>
          </w:r>
          <w:r>
            <w:fldChar w:fldCharType="separate"/>
          </w:r>
          <w:r>
            <w:rPr>
              <w:rStyle w:val="26"/>
              <w:rFonts w:ascii="楷体_GB2312" w:hAnsi="楷体_GB2312" w:eastAsia="楷体_GB2312" w:cs="楷体_GB2312"/>
            </w:rPr>
            <w:t>（四）提升国际物流服务保障能力</w:t>
          </w:r>
          <w:r>
            <w:tab/>
          </w:r>
          <w:r>
            <w:fldChar w:fldCharType="begin"/>
          </w:r>
          <w:r>
            <w:instrText xml:space="preserve"> PAGEREF _Toc232606944 \h </w:instrText>
          </w:r>
          <w:r>
            <w:fldChar w:fldCharType="separate"/>
          </w:r>
          <w:r>
            <w:t>18</w:t>
          </w:r>
          <w:r>
            <w:fldChar w:fldCharType="end"/>
          </w:r>
          <w:r>
            <w:fldChar w:fldCharType="end"/>
          </w:r>
        </w:p>
        <w:p>
          <w:pPr>
            <w:pStyle w:val="15"/>
            <w:tabs>
              <w:tab w:val="right" w:leader="dot" w:pos="8296"/>
            </w:tabs>
            <w:spacing w:line="480" w:lineRule="exact"/>
            <w:rPr>
              <w:rFonts w:asciiTheme="minorHAnsi" w:hAnsiTheme="minorHAnsi" w:eastAsiaTheme="minorEastAsia"/>
              <w:b w:val="0"/>
              <w:sz w:val="21"/>
              <w14:ligatures w14:val="none"/>
            </w:rPr>
          </w:pPr>
          <w:r>
            <w:fldChar w:fldCharType="begin"/>
          </w:r>
          <w:r>
            <w:instrText xml:space="preserve"> HYPERLINK \l "_Toc232606945" </w:instrText>
          </w:r>
          <w:r>
            <w:fldChar w:fldCharType="separate"/>
          </w:r>
          <w:r>
            <w:rPr>
              <w:rStyle w:val="26"/>
              <w:rFonts w:ascii="黑体" w:hAnsi="黑体" w:eastAsia="黑体" w:cs="黑体"/>
              <w:b w:val="0"/>
            </w:rPr>
            <w:t>七、推进交通运输协调融合发展</w:t>
          </w:r>
          <w:r>
            <w:rPr>
              <w:b w:val="0"/>
            </w:rPr>
            <w:tab/>
          </w:r>
          <w:r>
            <w:rPr>
              <w:b w:val="0"/>
            </w:rPr>
            <w:fldChar w:fldCharType="begin"/>
          </w:r>
          <w:r>
            <w:rPr>
              <w:b w:val="0"/>
            </w:rPr>
            <w:instrText xml:space="preserve"> PAGEREF _Toc232606945 \h </w:instrText>
          </w:r>
          <w:r>
            <w:rPr>
              <w:b w:val="0"/>
            </w:rPr>
            <w:fldChar w:fldCharType="separate"/>
          </w:r>
          <w:r>
            <w:rPr>
              <w:b w:val="0"/>
            </w:rPr>
            <w:t>18</w:t>
          </w:r>
          <w:r>
            <w:rPr>
              <w:b w:val="0"/>
            </w:rPr>
            <w:fldChar w:fldCharType="end"/>
          </w:r>
          <w:r>
            <w:rPr>
              <w:b w:val="0"/>
            </w:rPr>
            <w:fldChar w:fldCharType="end"/>
          </w:r>
        </w:p>
        <w:p>
          <w:pPr>
            <w:pStyle w:val="18"/>
            <w:tabs>
              <w:tab w:val="right" w:leader="dot" w:pos="8296"/>
            </w:tabs>
            <w:spacing w:line="480" w:lineRule="exact"/>
            <w:ind w:firstLine="640"/>
            <w:rPr>
              <w:rFonts w:asciiTheme="minorHAnsi" w:hAnsiTheme="minorHAnsi" w:eastAsiaTheme="minorEastAsia"/>
              <w:sz w:val="21"/>
              <w14:ligatures w14:val="none"/>
            </w:rPr>
          </w:pPr>
          <w:r>
            <w:fldChar w:fldCharType="begin"/>
          </w:r>
          <w:r>
            <w:instrText xml:space="preserve"> HYPERLINK \l "_Toc232606946" </w:instrText>
          </w:r>
          <w:r>
            <w:fldChar w:fldCharType="separate"/>
          </w:r>
          <w:r>
            <w:rPr>
              <w:rStyle w:val="26"/>
              <w:rFonts w:ascii="楷体_GB2312" w:hAnsi="楷体_GB2312" w:eastAsia="楷体_GB2312" w:cs="楷体_GB2312"/>
            </w:rPr>
            <w:t>（一）推动交通运输与能源融合发展</w:t>
          </w:r>
          <w:r>
            <w:tab/>
          </w:r>
          <w:r>
            <w:fldChar w:fldCharType="begin"/>
          </w:r>
          <w:r>
            <w:instrText xml:space="preserve"> PAGEREF _Toc232606946 \h </w:instrText>
          </w:r>
          <w:r>
            <w:fldChar w:fldCharType="separate"/>
          </w:r>
          <w:r>
            <w:t>18</w:t>
          </w:r>
          <w:r>
            <w:fldChar w:fldCharType="end"/>
          </w:r>
          <w:r>
            <w:fldChar w:fldCharType="end"/>
          </w:r>
        </w:p>
        <w:p>
          <w:pPr>
            <w:pStyle w:val="18"/>
            <w:tabs>
              <w:tab w:val="right" w:leader="dot" w:pos="8296"/>
            </w:tabs>
            <w:spacing w:line="480" w:lineRule="exact"/>
            <w:ind w:firstLine="640"/>
            <w:rPr>
              <w:rFonts w:asciiTheme="minorHAnsi" w:hAnsiTheme="minorHAnsi" w:eastAsiaTheme="minorEastAsia"/>
              <w:sz w:val="21"/>
              <w14:ligatures w14:val="none"/>
            </w:rPr>
          </w:pPr>
          <w:r>
            <w:fldChar w:fldCharType="begin"/>
          </w:r>
          <w:r>
            <w:instrText xml:space="preserve"> HYPERLINK \l "_Toc232606947" </w:instrText>
          </w:r>
          <w:r>
            <w:fldChar w:fldCharType="separate"/>
          </w:r>
          <w:r>
            <w:rPr>
              <w:rStyle w:val="26"/>
              <w:rFonts w:ascii="楷体_GB2312" w:hAnsi="楷体_GB2312" w:eastAsia="楷体_GB2312" w:cs="楷体_GB2312"/>
            </w:rPr>
            <w:t>（二）推动交通运输与旅游融合发展</w:t>
          </w:r>
          <w:r>
            <w:tab/>
          </w:r>
          <w:r>
            <w:fldChar w:fldCharType="begin"/>
          </w:r>
          <w:r>
            <w:instrText xml:space="preserve"> PAGEREF _Toc232606947 \h </w:instrText>
          </w:r>
          <w:r>
            <w:fldChar w:fldCharType="separate"/>
          </w:r>
          <w:r>
            <w:t>19</w:t>
          </w:r>
          <w:r>
            <w:fldChar w:fldCharType="end"/>
          </w:r>
          <w:r>
            <w:fldChar w:fldCharType="end"/>
          </w:r>
        </w:p>
        <w:p>
          <w:pPr>
            <w:pStyle w:val="18"/>
            <w:tabs>
              <w:tab w:val="right" w:leader="dot" w:pos="8296"/>
            </w:tabs>
            <w:spacing w:line="480" w:lineRule="exact"/>
            <w:ind w:firstLine="640"/>
            <w:rPr>
              <w:rFonts w:asciiTheme="minorHAnsi" w:hAnsiTheme="minorHAnsi" w:eastAsiaTheme="minorEastAsia"/>
              <w:sz w:val="21"/>
              <w14:ligatures w14:val="none"/>
            </w:rPr>
          </w:pPr>
          <w:r>
            <w:fldChar w:fldCharType="begin"/>
          </w:r>
          <w:r>
            <w:instrText xml:space="preserve"> HYPERLINK \l "_Toc232606948" </w:instrText>
          </w:r>
          <w:r>
            <w:fldChar w:fldCharType="separate"/>
          </w:r>
          <w:r>
            <w:rPr>
              <w:rStyle w:val="26"/>
              <w:rFonts w:ascii="楷体_GB2312" w:hAnsi="楷体_GB2312" w:eastAsia="楷体_GB2312" w:cs="楷体_GB2312"/>
            </w:rPr>
            <w:t>（三）推动交通运输与邮政快递融合发展</w:t>
          </w:r>
          <w:r>
            <w:tab/>
          </w:r>
          <w:r>
            <w:fldChar w:fldCharType="begin"/>
          </w:r>
          <w:r>
            <w:instrText xml:space="preserve"> PAGEREF _Toc232606948 \h </w:instrText>
          </w:r>
          <w:r>
            <w:fldChar w:fldCharType="separate"/>
          </w:r>
          <w:r>
            <w:t>19</w:t>
          </w:r>
          <w:r>
            <w:fldChar w:fldCharType="end"/>
          </w:r>
          <w:r>
            <w:fldChar w:fldCharType="end"/>
          </w:r>
        </w:p>
        <w:p>
          <w:pPr>
            <w:pStyle w:val="18"/>
            <w:tabs>
              <w:tab w:val="right" w:leader="dot" w:pos="8296"/>
            </w:tabs>
            <w:spacing w:line="480" w:lineRule="exact"/>
            <w:ind w:firstLine="640"/>
            <w:rPr>
              <w:rFonts w:asciiTheme="minorHAnsi" w:hAnsiTheme="minorHAnsi" w:eastAsiaTheme="minorEastAsia"/>
              <w:sz w:val="21"/>
              <w14:ligatures w14:val="none"/>
            </w:rPr>
          </w:pPr>
          <w:r>
            <w:fldChar w:fldCharType="begin"/>
          </w:r>
          <w:r>
            <w:instrText xml:space="preserve"> HYPERLINK \l "_Toc232606949" </w:instrText>
          </w:r>
          <w:r>
            <w:fldChar w:fldCharType="separate"/>
          </w:r>
          <w:r>
            <w:rPr>
              <w:rStyle w:val="26"/>
              <w:rFonts w:ascii="楷体_GB2312" w:hAnsi="楷体_GB2312" w:eastAsia="楷体_GB2312" w:cs="楷体_GB2312"/>
            </w:rPr>
            <w:t>（四）推动交通物流与产业融合发展</w:t>
          </w:r>
          <w:r>
            <w:tab/>
          </w:r>
          <w:r>
            <w:fldChar w:fldCharType="begin"/>
          </w:r>
          <w:r>
            <w:instrText xml:space="preserve"> PAGEREF _Toc232606949 \h </w:instrText>
          </w:r>
          <w:r>
            <w:fldChar w:fldCharType="separate"/>
          </w:r>
          <w:r>
            <w:t>19</w:t>
          </w:r>
          <w:r>
            <w:fldChar w:fldCharType="end"/>
          </w:r>
          <w:r>
            <w:fldChar w:fldCharType="end"/>
          </w:r>
        </w:p>
        <w:p>
          <w:pPr>
            <w:pStyle w:val="15"/>
            <w:tabs>
              <w:tab w:val="right" w:leader="dot" w:pos="8296"/>
            </w:tabs>
            <w:spacing w:line="480" w:lineRule="exact"/>
            <w:rPr>
              <w:rFonts w:asciiTheme="minorHAnsi" w:hAnsiTheme="minorHAnsi" w:eastAsiaTheme="minorEastAsia"/>
              <w:b w:val="0"/>
              <w:sz w:val="21"/>
              <w14:ligatures w14:val="none"/>
            </w:rPr>
          </w:pPr>
          <w:r>
            <w:fldChar w:fldCharType="begin"/>
          </w:r>
          <w:r>
            <w:instrText xml:space="preserve"> HYPERLINK \l "_Toc232606950" </w:instrText>
          </w:r>
          <w:r>
            <w:fldChar w:fldCharType="separate"/>
          </w:r>
          <w:r>
            <w:rPr>
              <w:rStyle w:val="26"/>
              <w:rFonts w:ascii="黑体" w:hAnsi="黑体" w:eastAsia="黑体" w:cs="黑体"/>
              <w:b w:val="0"/>
            </w:rPr>
            <w:t>八、培育发展交通运输新质生产力</w:t>
          </w:r>
          <w:r>
            <w:rPr>
              <w:b w:val="0"/>
            </w:rPr>
            <w:tab/>
          </w:r>
          <w:r>
            <w:rPr>
              <w:b w:val="0"/>
            </w:rPr>
            <w:fldChar w:fldCharType="begin"/>
          </w:r>
          <w:r>
            <w:rPr>
              <w:b w:val="0"/>
            </w:rPr>
            <w:instrText xml:space="preserve"> PAGEREF _Toc232606950 \h </w:instrText>
          </w:r>
          <w:r>
            <w:rPr>
              <w:b w:val="0"/>
            </w:rPr>
            <w:fldChar w:fldCharType="separate"/>
          </w:r>
          <w:r>
            <w:rPr>
              <w:b w:val="0"/>
            </w:rPr>
            <w:t>20</w:t>
          </w:r>
          <w:r>
            <w:rPr>
              <w:b w:val="0"/>
            </w:rPr>
            <w:fldChar w:fldCharType="end"/>
          </w:r>
          <w:r>
            <w:rPr>
              <w:b w:val="0"/>
            </w:rPr>
            <w:fldChar w:fldCharType="end"/>
          </w:r>
        </w:p>
        <w:p>
          <w:pPr>
            <w:pStyle w:val="18"/>
            <w:tabs>
              <w:tab w:val="right" w:leader="dot" w:pos="8296"/>
            </w:tabs>
            <w:spacing w:line="480" w:lineRule="exact"/>
            <w:ind w:firstLine="640"/>
            <w:rPr>
              <w:rFonts w:asciiTheme="minorHAnsi" w:hAnsiTheme="minorHAnsi" w:eastAsiaTheme="minorEastAsia"/>
              <w:sz w:val="21"/>
              <w14:ligatures w14:val="none"/>
            </w:rPr>
          </w:pPr>
          <w:r>
            <w:fldChar w:fldCharType="begin"/>
          </w:r>
          <w:r>
            <w:instrText xml:space="preserve"> HYPERLINK \l "_Toc232606951" </w:instrText>
          </w:r>
          <w:r>
            <w:fldChar w:fldCharType="separate"/>
          </w:r>
          <w:r>
            <w:rPr>
              <w:rStyle w:val="26"/>
              <w:rFonts w:ascii="楷体_GB2312" w:hAnsi="楷体_GB2312" w:eastAsia="楷体_GB2312" w:cs="楷体_GB2312"/>
            </w:rPr>
            <w:t>（一）共建共享综合交通数字底座</w:t>
          </w:r>
          <w:r>
            <w:tab/>
          </w:r>
          <w:r>
            <w:fldChar w:fldCharType="begin"/>
          </w:r>
          <w:r>
            <w:instrText xml:space="preserve"> PAGEREF _Toc232606951 \h </w:instrText>
          </w:r>
          <w:r>
            <w:fldChar w:fldCharType="separate"/>
          </w:r>
          <w:r>
            <w:t>20</w:t>
          </w:r>
          <w:r>
            <w:fldChar w:fldCharType="end"/>
          </w:r>
          <w:r>
            <w:fldChar w:fldCharType="end"/>
          </w:r>
        </w:p>
        <w:p>
          <w:pPr>
            <w:pStyle w:val="18"/>
            <w:tabs>
              <w:tab w:val="right" w:leader="dot" w:pos="8296"/>
            </w:tabs>
            <w:spacing w:line="480" w:lineRule="exact"/>
            <w:ind w:firstLine="640"/>
            <w:rPr>
              <w:rFonts w:asciiTheme="minorHAnsi" w:hAnsiTheme="minorHAnsi" w:eastAsiaTheme="minorEastAsia"/>
              <w:sz w:val="21"/>
              <w14:ligatures w14:val="none"/>
            </w:rPr>
          </w:pPr>
          <w:r>
            <w:fldChar w:fldCharType="begin"/>
          </w:r>
          <w:r>
            <w:instrText xml:space="preserve"> HYPERLINK \l "_Toc232606952" </w:instrText>
          </w:r>
          <w:r>
            <w:fldChar w:fldCharType="separate"/>
          </w:r>
          <w:r>
            <w:rPr>
              <w:rStyle w:val="26"/>
              <w:rFonts w:ascii="楷体_GB2312" w:hAnsi="楷体_GB2312" w:eastAsia="楷体_GB2312" w:cs="楷体_GB2312"/>
            </w:rPr>
            <w:t>（二）推动基础设施数字化转型升级</w:t>
          </w:r>
          <w:r>
            <w:tab/>
          </w:r>
          <w:r>
            <w:fldChar w:fldCharType="begin"/>
          </w:r>
          <w:r>
            <w:instrText xml:space="preserve"> PAGEREF _Toc232606952 \h </w:instrText>
          </w:r>
          <w:r>
            <w:fldChar w:fldCharType="separate"/>
          </w:r>
          <w:r>
            <w:t>20</w:t>
          </w:r>
          <w:r>
            <w:fldChar w:fldCharType="end"/>
          </w:r>
          <w:r>
            <w:fldChar w:fldCharType="end"/>
          </w:r>
        </w:p>
        <w:p>
          <w:pPr>
            <w:pStyle w:val="18"/>
            <w:tabs>
              <w:tab w:val="right" w:leader="dot" w:pos="8296"/>
            </w:tabs>
            <w:spacing w:line="480" w:lineRule="exact"/>
            <w:ind w:firstLine="640"/>
            <w:rPr>
              <w:rFonts w:asciiTheme="minorHAnsi" w:hAnsiTheme="minorHAnsi" w:eastAsiaTheme="minorEastAsia"/>
              <w:sz w:val="21"/>
              <w14:ligatures w14:val="none"/>
            </w:rPr>
          </w:pPr>
          <w:r>
            <w:fldChar w:fldCharType="begin"/>
          </w:r>
          <w:r>
            <w:instrText xml:space="preserve"> HYPERLINK \l "_Toc232606953" </w:instrText>
          </w:r>
          <w:r>
            <w:fldChar w:fldCharType="separate"/>
          </w:r>
          <w:r>
            <w:rPr>
              <w:rStyle w:val="26"/>
              <w:rFonts w:ascii="楷体_GB2312" w:hAnsi="楷体_GB2312" w:eastAsia="楷体_GB2312" w:cs="楷体_GB2312"/>
            </w:rPr>
            <w:t>（三）推进数据赋能运输服务发展</w:t>
          </w:r>
          <w:r>
            <w:tab/>
          </w:r>
          <w:r>
            <w:fldChar w:fldCharType="begin"/>
          </w:r>
          <w:r>
            <w:instrText xml:space="preserve"> PAGEREF _Toc232606953 \h </w:instrText>
          </w:r>
          <w:r>
            <w:fldChar w:fldCharType="separate"/>
          </w:r>
          <w:r>
            <w:t>20</w:t>
          </w:r>
          <w:r>
            <w:fldChar w:fldCharType="end"/>
          </w:r>
          <w:r>
            <w:fldChar w:fldCharType="end"/>
          </w:r>
        </w:p>
        <w:p>
          <w:pPr>
            <w:pStyle w:val="18"/>
            <w:tabs>
              <w:tab w:val="right" w:leader="dot" w:pos="8296"/>
            </w:tabs>
            <w:spacing w:line="480" w:lineRule="exact"/>
            <w:ind w:firstLine="640"/>
            <w:rPr>
              <w:rFonts w:asciiTheme="minorHAnsi" w:hAnsiTheme="minorHAnsi" w:eastAsiaTheme="minorEastAsia"/>
              <w:sz w:val="21"/>
              <w14:ligatures w14:val="none"/>
            </w:rPr>
          </w:pPr>
          <w:r>
            <w:fldChar w:fldCharType="begin"/>
          </w:r>
          <w:r>
            <w:instrText xml:space="preserve"> HYPERLINK \l "_Toc232606954" </w:instrText>
          </w:r>
          <w:r>
            <w:fldChar w:fldCharType="separate"/>
          </w:r>
          <w:r>
            <w:rPr>
              <w:rStyle w:val="26"/>
              <w:rFonts w:ascii="楷体_GB2312" w:hAnsi="楷体_GB2312" w:eastAsia="楷体_GB2312" w:cs="楷体_GB2312"/>
            </w:rPr>
            <w:t>（四）持续培育新场景新业态</w:t>
          </w:r>
          <w:r>
            <w:tab/>
          </w:r>
          <w:r>
            <w:fldChar w:fldCharType="begin"/>
          </w:r>
          <w:r>
            <w:instrText xml:space="preserve"> PAGEREF _Toc232606954 \h </w:instrText>
          </w:r>
          <w:r>
            <w:fldChar w:fldCharType="separate"/>
          </w:r>
          <w:r>
            <w:t>21</w:t>
          </w:r>
          <w:r>
            <w:fldChar w:fldCharType="end"/>
          </w:r>
          <w:r>
            <w:fldChar w:fldCharType="end"/>
          </w:r>
        </w:p>
        <w:p>
          <w:pPr>
            <w:pStyle w:val="15"/>
            <w:tabs>
              <w:tab w:val="right" w:leader="dot" w:pos="8296"/>
            </w:tabs>
            <w:spacing w:line="480" w:lineRule="exact"/>
            <w:rPr>
              <w:rFonts w:asciiTheme="minorHAnsi" w:hAnsiTheme="minorHAnsi" w:eastAsiaTheme="minorEastAsia"/>
              <w:b w:val="0"/>
              <w:sz w:val="21"/>
              <w14:ligatures w14:val="none"/>
            </w:rPr>
          </w:pPr>
          <w:r>
            <w:fldChar w:fldCharType="begin"/>
          </w:r>
          <w:r>
            <w:instrText xml:space="preserve"> HYPERLINK \l "_Toc232606955" </w:instrText>
          </w:r>
          <w:r>
            <w:fldChar w:fldCharType="separate"/>
          </w:r>
          <w:r>
            <w:rPr>
              <w:rStyle w:val="26"/>
              <w:rFonts w:ascii="黑体" w:hAnsi="黑体" w:eastAsia="黑体" w:cs="黑体"/>
              <w:b w:val="0"/>
            </w:rPr>
            <w:t>九、推动交通运输绿色低碳转型发展</w:t>
          </w:r>
          <w:r>
            <w:rPr>
              <w:b w:val="0"/>
            </w:rPr>
            <w:tab/>
          </w:r>
          <w:r>
            <w:rPr>
              <w:b w:val="0"/>
            </w:rPr>
            <w:fldChar w:fldCharType="begin"/>
          </w:r>
          <w:r>
            <w:rPr>
              <w:b w:val="0"/>
            </w:rPr>
            <w:instrText xml:space="preserve"> PAGEREF _Toc232606955 \h </w:instrText>
          </w:r>
          <w:r>
            <w:rPr>
              <w:b w:val="0"/>
            </w:rPr>
            <w:fldChar w:fldCharType="separate"/>
          </w:r>
          <w:r>
            <w:rPr>
              <w:b w:val="0"/>
            </w:rPr>
            <w:t>21</w:t>
          </w:r>
          <w:r>
            <w:rPr>
              <w:b w:val="0"/>
            </w:rPr>
            <w:fldChar w:fldCharType="end"/>
          </w:r>
          <w:r>
            <w:rPr>
              <w:b w:val="0"/>
            </w:rPr>
            <w:fldChar w:fldCharType="end"/>
          </w:r>
        </w:p>
        <w:p>
          <w:pPr>
            <w:pStyle w:val="18"/>
            <w:tabs>
              <w:tab w:val="right" w:leader="dot" w:pos="8296"/>
            </w:tabs>
            <w:spacing w:line="480" w:lineRule="exact"/>
            <w:ind w:firstLine="640"/>
            <w:rPr>
              <w:rFonts w:asciiTheme="minorHAnsi" w:hAnsiTheme="minorHAnsi" w:eastAsiaTheme="minorEastAsia"/>
              <w:sz w:val="21"/>
              <w14:ligatures w14:val="none"/>
            </w:rPr>
          </w:pPr>
          <w:r>
            <w:fldChar w:fldCharType="begin"/>
          </w:r>
          <w:r>
            <w:instrText xml:space="preserve"> HYPERLINK \l "_Toc232606956" </w:instrText>
          </w:r>
          <w:r>
            <w:fldChar w:fldCharType="separate"/>
          </w:r>
          <w:r>
            <w:rPr>
              <w:rStyle w:val="26"/>
              <w:rFonts w:ascii="楷体_GB2312" w:hAnsi="楷体_GB2312" w:eastAsia="楷体_GB2312" w:cs="楷体_GB2312"/>
            </w:rPr>
            <w:t>（一）推进交通基础设施绿色低碳改造</w:t>
          </w:r>
          <w:r>
            <w:tab/>
          </w:r>
          <w:r>
            <w:fldChar w:fldCharType="begin"/>
          </w:r>
          <w:r>
            <w:instrText xml:space="preserve"> PAGEREF _Toc232606956 \h </w:instrText>
          </w:r>
          <w:r>
            <w:fldChar w:fldCharType="separate"/>
          </w:r>
          <w:r>
            <w:t>21</w:t>
          </w:r>
          <w:r>
            <w:fldChar w:fldCharType="end"/>
          </w:r>
          <w:r>
            <w:fldChar w:fldCharType="end"/>
          </w:r>
        </w:p>
        <w:p>
          <w:pPr>
            <w:pStyle w:val="18"/>
            <w:tabs>
              <w:tab w:val="right" w:leader="dot" w:pos="8296"/>
            </w:tabs>
            <w:spacing w:line="480" w:lineRule="exact"/>
            <w:ind w:firstLine="640"/>
            <w:rPr>
              <w:rFonts w:asciiTheme="minorHAnsi" w:hAnsiTheme="minorHAnsi" w:eastAsiaTheme="minorEastAsia"/>
              <w:sz w:val="21"/>
              <w14:ligatures w14:val="none"/>
            </w:rPr>
          </w:pPr>
          <w:r>
            <w:fldChar w:fldCharType="begin"/>
          </w:r>
          <w:r>
            <w:instrText xml:space="preserve"> HYPERLINK \l "_Toc232606957" </w:instrText>
          </w:r>
          <w:r>
            <w:fldChar w:fldCharType="separate"/>
          </w:r>
          <w:r>
            <w:rPr>
              <w:rStyle w:val="26"/>
              <w:rFonts w:ascii="楷体_GB2312" w:hAnsi="楷体_GB2312" w:eastAsia="楷体_GB2312" w:cs="楷体_GB2312"/>
            </w:rPr>
            <w:t>（二）大力推广清洁低碳运输装备</w:t>
          </w:r>
          <w:r>
            <w:tab/>
          </w:r>
          <w:r>
            <w:fldChar w:fldCharType="begin"/>
          </w:r>
          <w:r>
            <w:instrText xml:space="preserve"> PAGEREF _Toc232606957 \h </w:instrText>
          </w:r>
          <w:r>
            <w:fldChar w:fldCharType="separate"/>
          </w:r>
          <w:r>
            <w:t>21</w:t>
          </w:r>
          <w:r>
            <w:fldChar w:fldCharType="end"/>
          </w:r>
          <w:r>
            <w:fldChar w:fldCharType="end"/>
          </w:r>
        </w:p>
        <w:p>
          <w:pPr>
            <w:pStyle w:val="18"/>
            <w:tabs>
              <w:tab w:val="right" w:leader="dot" w:pos="8296"/>
            </w:tabs>
            <w:spacing w:line="480" w:lineRule="exact"/>
            <w:ind w:firstLine="640"/>
            <w:rPr>
              <w:rFonts w:asciiTheme="minorHAnsi" w:hAnsiTheme="minorHAnsi" w:eastAsiaTheme="minorEastAsia"/>
              <w:sz w:val="21"/>
              <w14:ligatures w14:val="none"/>
            </w:rPr>
          </w:pPr>
          <w:r>
            <w:fldChar w:fldCharType="begin"/>
          </w:r>
          <w:r>
            <w:instrText xml:space="preserve"> HYPERLINK \l "_Toc232606958" </w:instrText>
          </w:r>
          <w:r>
            <w:fldChar w:fldCharType="separate"/>
          </w:r>
          <w:r>
            <w:rPr>
              <w:rStyle w:val="26"/>
              <w:rFonts w:ascii="楷体_GB2312" w:hAnsi="楷体_GB2312" w:eastAsia="楷体_GB2312" w:cs="楷体_GB2312"/>
            </w:rPr>
            <w:t>（三）持续推动资源节约集约利用</w:t>
          </w:r>
          <w:r>
            <w:tab/>
          </w:r>
          <w:r>
            <w:fldChar w:fldCharType="begin"/>
          </w:r>
          <w:r>
            <w:instrText xml:space="preserve"> PAGEREF _Toc232606958 \h </w:instrText>
          </w:r>
          <w:r>
            <w:fldChar w:fldCharType="separate"/>
          </w:r>
          <w:r>
            <w:t>22</w:t>
          </w:r>
          <w:r>
            <w:fldChar w:fldCharType="end"/>
          </w:r>
          <w:r>
            <w:fldChar w:fldCharType="end"/>
          </w:r>
        </w:p>
        <w:p>
          <w:pPr>
            <w:pStyle w:val="18"/>
            <w:tabs>
              <w:tab w:val="right" w:leader="dot" w:pos="8296"/>
            </w:tabs>
            <w:spacing w:line="480" w:lineRule="exact"/>
            <w:ind w:firstLine="640"/>
            <w:rPr>
              <w:rFonts w:asciiTheme="minorHAnsi" w:hAnsiTheme="minorHAnsi" w:eastAsiaTheme="minorEastAsia"/>
              <w:sz w:val="21"/>
              <w14:ligatures w14:val="none"/>
            </w:rPr>
          </w:pPr>
          <w:r>
            <w:fldChar w:fldCharType="begin"/>
          </w:r>
          <w:r>
            <w:instrText xml:space="preserve"> HYPERLINK \l "_Toc232606959" </w:instrText>
          </w:r>
          <w:r>
            <w:fldChar w:fldCharType="separate"/>
          </w:r>
          <w:r>
            <w:rPr>
              <w:rStyle w:val="26"/>
              <w:rFonts w:ascii="楷体_GB2312" w:hAnsi="楷体_GB2312" w:eastAsia="楷体_GB2312" w:cs="楷体_GB2312"/>
            </w:rPr>
            <w:t>（四）持续深入推进污染防治攻坚</w:t>
          </w:r>
          <w:r>
            <w:tab/>
          </w:r>
          <w:r>
            <w:fldChar w:fldCharType="begin"/>
          </w:r>
          <w:r>
            <w:instrText xml:space="preserve"> PAGEREF _Toc232606959 \h </w:instrText>
          </w:r>
          <w:r>
            <w:fldChar w:fldCharType="separate"/>
          </w:r>
          <w:r>
            <w:t>22</w:t>
          </w:r>
          <w:r>
            <w:fldChar w:fldCharType="end"/>
          </w:r>
          <w:r>
            <w:fldChar w:fldCharType="end"/>
          </w:r>
        </w:p>
        <w:p>
          <w:pPr>
            <w:pStyle w:val="15"/>
            <w:tabs>
              <w:tab w:val="right" w:leader="dot" w:pos="8296"/>
            </w:tabs>
            <w:spacing w:line="480" w:lineRule="exact"/>
            <w:rPr>
              <w:rFonts w:asciiTheme="minorHAnsi" w:hAnsiTheme="minorHAnsi" w:eastAsiaTheme="minorEastAsia"/>
              <w:b w:val="0"/>
              <w:sz w:val="21"/>
              <w14:ligatures w14:val="none"/>
            </w:rPr>
          </w:pPr>
          <w:r>
            <w:fldChar w:fldCharType="begin"/>
          </w:r>
          <w:r>
            <w:instrText xml:space="preserve"> HYPERLINK \l "_Toc232606960" </w:instrText>
          </w:r>
          <w:r>
            <w:fldChar w:fldCharType="separate"/>
          </w:r>
          <w:r>
            <w:rPr>
              <w:rStyle w:val="26"/>
              <w:rFonts w:ascii="黑体" w:hAnsi="黑体" w:eastAsia="黑体" w:cs="黑体"/>
              <w:b w:val="0"/>
            </w:rPr>
            <w:t>十、强化交通运输安全应急保障能力</w:t>
          </w:r>
          <w:r>
            <w:rPr>
              <w:b w:val="0"/>
            </w:rPr>
            <w:tab/>
          </w:r>
          <w:r>
            <w:rPr>
              <w:b w:val="0"/>
            </w:rPr>
            <w:fldChar w:fldCharType="begin"/>
          </w:r>
          <w:r>
            <w:rPr>
              <w:b w:val="0"/>
            </w:rPr>
            <w:instrText xml:space="preserve"> PAGEREF _Toc232606960 \h </w:instrText>
          </w:r>
          <w:r>
            <w:rPr>
              <w:b w:val="0"/>
            </w:rPr>
            <w:fldChar w:fldCharType="separate"/>
          </w:r>
          <w:r>
            <w:rPr>
              <w:b w:val="0"/>
            </w:rPr>
            <w:t>22</w:t>
          </w:r>
          <w:r>
            <w:rPr>
              <w:b w:val="0"/>
            </w:rPr>
            <w:fldChar w:fldCharType="end"/>
          </w:r>
          <w:r>
            <w:rPr>
              <w:b w:val="0"/>
            </w:rPr>
            <w:fldChar w:fldCharType="end"/>
          </w:r>
        </w:p>
        <w:p>
          <w:pPr>
            <w:pStyle w:val="18"/>
            <w:tabs>
              <w:tab w:val="right" w:leader="dot" w:pos="8296"/>
            </w:tabs>
            <w:spacing w:line="480" w:lineRule="exact"/>
            <w:ind w:firstLine="640"/>
            <w:rPr>
              <w:rFonts w:asciiTheme="minorHAnsi" w:hAnsiTheme="minorHAnsi" w:eastAsiaTheme="minorEastAsia"/>
              <w:sz w:val="21"/>
              <w14:ligatures w14:val="none"/>
            </w:rPr>
          </w:pPr>
          <w:r>
            <w:fldChar w:fldCharType="begin"/>
          </w:r>
          <w:r>
            <w:instrText xml:space="preserve"> HYPERLINK \l "_Toc232606961" </w:instrText>
          </w:r>
          <w:r>
            <w:fldChar w:fldCharType="separate"/>
          </w:r>
          <w:r>
            <w:rPr>
              <w:rStyle w:val="26"/>
              <w:rFonts w:ascii="楷体_GB2312" w:hAnsi="楷体_GB2312" w:eastAsia="楷体_GB2312" w:cs="楷体_GB2312"/>
            </w:rPr>
            <w:t>（一）强化战略物资运输保障能力</w:t>
          </w:r>
          <w:r>
            <w:tab/>
          </w:r>
          <w:r>
            <w:fldChar w:fldCharType="begin"/>
          </w:r>
          <w:r>
            <w:instrText xml:space="preserve"> PAGEREF _Toc232606961 \h </w:instrText>
          </w:r>
          <w:r>
            <w:fldChar w:fldCharType="separate"/>
          </w:r>
          <w:r>
            <w:t>22</w:t>
          </w:r>
          <w:r>
            <w:fldChar w:fldCharType="end"/>
          </w:r>
          <w:r>
            <w:fldChar w:fldCharType="end"/>
          </w:r>
        </w:p>
        <w:p>
          <w:pPr>
            <w:pStyle w:val="18"/>
            <w:tabs>
              <w:tab w:val="right" w:leader="dot" w:pos="8296"/>
            </w:tabs>
            <w:spacing w:line="480" w:lineRule="exact"/>
            <w:ind w:firstLine="640"/>
            <w:rPr>
              <w:rFonts w:asciiTheme="minorHAnsi" w:hAnsiTheme="minorHAnsi" w:eastAsiaTheme="minorEastAsia"/>
              <w:sz w:val="21"/>
              <w14:ligatures w14:val="none"/>
            </w:rPr>
          </w:pPr>
          <w:r>
            <w:fldChar w:fldCharType="begin"/>
          </w:r>
          <w:r>
            <w:instrText xml:space="preserve"> HYPERLINK \l "_Toc232606962" </w:instrText>
          </w:r>
          <w:r>
            <w:fldChar w:fldCharType="separate"/>
          </w:r>
          <w:r>
            <w:rPr>
              <w:rStyle w:val="26"/>
              <w:rFonts w:ascii="楷体_GB2312" w:hAnsi="楷体_GB2312" w:eastAsia="楷体_GB2312" w:cs="楷体_GB2312"/>
            </w:rPr>
            <w:t>（二）提升基础设施本质安全水平</w:t>
          </w:r>
          <w:r>
            <w:tab/>
          </w:r>
          <w:r>
            <w:fldChar w:fldCharType="begin"/>
          </w:r>
          <w:r>
            <w:instrText xml:space="preserve"> PAGEREF _Toc232606962 \h </w:instrText>
          </w:r>
          <w:r>
            <w:fldChar w:fldCharType="separate"/>
          </w:r>
          <w:r>
            <w:t>23</w:t>
          </w:r>
          <w:r>
            <w:fldChar w:fldCharType="end"/>
          </w:r>
          <w:r>
            <w:fldChar w:fldCharType="end"/>
          </w:r>
        </w:p>
        <w:p>
          <w:pPr>
            <w:pStyle w:val="18"/>
            <w:tabs>
              <w:tab w:val="right" w:leader="dot" w:pos="8296"/>
            </w:tabs>
            <w:spacing w:line="480" w:lineRule="exact"/>
            <w:ind w:firstLine="640"/>
            <w:rPr>
              <w:rFonts w:asciiTheme="minorHAnsi" w:hAnsiTheme="minorHAnsi" w:eastAsiaTheme="minorEastAsia"/>
              <w:sz w:val="21"/>
              <w14:ligatures w14:val="none"/>
            </w:rPr>
          </w:pPr>
          <w:r>
            <w:fldChar w:fldCharType="begin"/>
          </w:r>
          <w:r>
            <w:instrText xml:space="preserve"> HYPERLINK \l "_Toc232606963" </w:instrText>
          </w:r>
          <w:r>
            <w:fldChar w:fldCharType="separate"/>
          </w:r>
          <w:r>
            <w:rPr>
              <w:rStyle w:val="26"/>
              <w:rFonts w:ascii="楷体_GB2312" w:hAnsi="楷体_GB2312" w:eastAsia="楷体_GB2312" w:cs="楷体_GB2312"/>
            </w:rPr>
            <w:t>（三）提升交通运输安全监管水平</w:t>
          </w:r>
          <w:r>
            <w:tab/>
          </w:r>
          <w:r>
            <w:fldChar w:fldCharType="begin"/>
          </w:r>
          <w:r>
            <w:instrText xml:space="preserve"> PAGEREF _Toc232606963 \h </w:instrText>
          </w:r>
          <w:r>
            <w:fldChar w:fldCharType="separate"/>
          </w:r>
          <w:r>
            <w:t>23</w:t>
          </w:r>
          <w:r>
            <w:fldChar w:fldCharType="end"/>
          </w:r>
          <w:r>
            <w:fldChar w:fldCharType="end"/>
          </w:r>
        </w:p>
        <w:p>
          <w:pPr>
            <w:pStyle w:val="18"/>
            <w:tabs>
              <w:tab w:val="right" w:leader="dot" w:pos="8296"/>
            </w:tabs>
            <w:spacing w:line="480" w:lineRule="exact"/>
            <w:ind w:firstLine="640"/>
            <w:rPr>
              <w:rFonts w:asciiTheme="minorHAnsi" w:hAnsiTheme="minorHAnsi" w:eastAsiaTheme="minorEastAsia"/>
              <w:sz w:val="21"/>
              <w14:ligatures w14:val="none"/>
            </w:rPr>
          </w:pPr>
          <w:r>
            <w:fldChar w:fldCharType="begin"/>
          </w:r>
          <w:r>
            <w:instrText xml:space="preserve"> HYPERLINK \l "_Toc232606964" </w:instrText>
          </w:r>
          <w:r>
            <w:fldChar w:fldCharType="separate"/>
          </w:r>
          <w:r>
            <w:rPr>
              <w:rStyle w:val="26"/>
              <w:rFonts w:ascii="楷体_GB2312" w:hAnsi="楷体_GB2312" w:eastAsia="楷体_GB2312" w:cs="楷体_GB2312"/>
            </w:rPr>
            <w:t>（四）强化交通安全应急能力建设</w:t>
          </w:r>
          <w:r>
            <w:tab/>
          </w:r>
          <w:r>
            <w:fldChar w:fldCharType="begin"/>
          </w:r>
          <w:r>
            <w:instrText xml:space="preserve"> PAGEREF _Toc232606964 \h </w:instrText>
          </w:r>
          <w:r>
            <w:fldChar w:fldCharType="separate"/>
          </w:r>
          <w:r>
            <w:t>23</w:t>
          </w:r>
          <w:r>
            <w:fldChar w:fldCharType="end"/>
          </w:r>
          <w:r>
            <w:fldChar w:fldCharType="end"/>
          </w:r>
        </w:p>
        <w:p>
          <w:pPr>
            <w:pStyle w:val="15"/>
            <w:tabs>
              <w:tab w:val="right" w:leader="dot" w:pos="8296"/>
            </w:tabs>
            <w:spacing w:line="480" w:lineRule="exact"/>
            <w:rPr>
              <w:rFonts w:asciiTheme="minorHAnsi" w:hAnsiTheme="minorHAnsi" w:eastAsiaTheme="minorEastAsia"/>
              <w:b w:val="0"/>
              <w:sz w:val="21"/>
              <w14:ligatures w14:val="none"/>
            </w:rPr>
          </w:pPr>
          <w:r>
            <w:fldChar w:fldCharType="begin"/>
          </w:r>
          <w:r>
            <w:instrText xml:space="preserve"> HYPERLINK \l "_Toc232606965" </w:instrText>
          </w:r>
          <w:r>
            <w:fldChar w:fldCharType="separate"/>
          </w:r>
          <w:r>
            <w:rPr>
              <w:rStyle w:val="26"/>
              <w:rFonts w:ascii="黑体" w:hAnsi="黑体" w:eastAsia="黑体" w:cs="黑体"/>
              <w:b w:val="0"/>
            </w:rPr>
            <w:t>十一、完善交通运输现代化治理体系</w:t>
          </w:r>
          <w:r>
            <w:rPr>
              <w:b w:val="0"/>
            </w:rPr>
            <w:tab/>
          </w:r>
          <w:r>
            <w:rPr>
              <w:b w:val="0"/>
            </w:rPr>
            <w:fldChar w:fldCharType="begin"/>
          </w:r>
          <w:r>
            <w:rPr>
              <w:b w:val="0"/>
            </w:rPr>
            <w:instrText xml:space="preserve"> PAGEREF _Toc232606965 \h </w:instrText>
          </w:r>
          <w:r>
            <w:rPr>
              <w:b w:val="0"/>
            </w:rPr>
            <w:fldChar w:fldCharType="separate"/>
          </w:r>
          <w:r>
            <w:rPr>
              <w:b w:val="0"/>
            </w:rPr>
            <w:t>24</w:t>
          </w:r>
          <w:r>
            <w:rPr>
              <w:b w:val="0"/>
            </w:rPr>
            <w:fldChar w:fldCharType="end"/>
          </w:r>
          <w:r>
            <w:rPr>
              <w:b w:val="0"/>
            </w:rPr>
            <w:fldChar w:fldCharType="end"/>
          </w:r>
        </w:p>
        <w:p>
          <w:pPr>
            <w:pStyle w:val="18"/>
            <w:tabs>
              <w:tab w:val="right" w:leader="dot" w:pos="8296"/>
            </w:tabs>
            <w:spacing w:line="480" w:lineRule="exact"/>
            <w:ind w:firstLine="640"/>
            <w:rPr>
              <w:rFonts w:asciiTheme="minorHAnsi" w:hAnsiTheme="minorHAnsi" w:eastAsiaTheme="minorEastAsia"/>
              <w:sz w:val="21"/>
              <w14:ligatures w14:val="none"/>
            </w:rPr>
          </w:pPr>
          <w:r>
            <w:fldChar w:fldCharType="begin"/>
          </w:r>
          <w:r>
            <w:instrText xml:space="preserve"> HYPERLINK \l "_Toc232606966" </w:instrText>
          </w:r>
          <w:r>
            <w:fldChar w:fldCharType="separate"/>
          </w:r>
          <w:r>
            <w:rPr>
              <w:rStyle w:val="26"/>
              <w:rFonts w:ascii="楷体_GB2312" w:hAnsi="楷体_GB2312" w:eastAsia="楷体_GB2312" w:cs="楷体_GB2312"/>
            </w:rPr>
            <w:t>（一）深化重点领域改革</w:t>
          </w:r>
          <w:r>
            <w:tab/>
          </w:r>
          <w:r>
            <w:fldChar w:fldCharType="begin"/>
          </w:r>
          <w:r>
            <w:instrText xml:space="preserve"> PAGEREF _Toc232606966 \h </w:instrText>
          </w:r>
          <w:r>
            <w:fldChar w:fldCharType="separate"/>
          </w:r>
          <w:r>
            <w:t>24</w:t>
          </w:r>
          <w:r>
            <w:fldChar w:fldCharType="end"/>
          </w:r>
          <w:r>
            <w:fldChar w:fldCharType="end"/>
          </w:r>
        </w:p>
        <w:p>
          <w:pPr>
            <w:pStyle w:val="18"/>
            <w:tabs>
              <w:tab w:val="right" w:leader="dot" w:pos="8296"/>
            </w:tabs>
            <w:spacing w:line="480" w:lineRule="exact"/>
            <w:ind w:firstLine="640"/>
            <w:rPr>
              <w:rFonts w:asciiTheme="minorHAnsi" w:hAnsiTheme="minorHAnsi" w:eastAsiaTheme="minorEastAsia"/>
              <w:sz w:val="21"/>
              <w14:ligatures w14:val="none"/>
            </w:rPr>
          </w:pPr>
          <w:r>
            <w:fldChar w:fldCharType="begin"/>
          </w:r>
          <w:r>
            <w:instrText xml:space="preserve"> HYPERLINK \l "_Toc232606967" </w:instrText>
          </w:r>
          <w:r>
            <w:fldChar w:fldCharType="separate"/>
          </w:r>
          <w:r>
            <w:rPr>
              <w:rStyle w:val="26"/>
              <w:rFonts w:ascii="楷体_GB2312" w:hAnsi="楷体_GB2312" w:eastAsia="楷体_GB2312" w:cs="楷体_GB2312"/>
            </w:rPr>
            <w:t>（二）持续优化营商环境</w:t>
          </w:r>
          <w:r>
            <w:tab/>
          </w:r>
          <w:r>
            <w:fldChar w:fldCharType="begin"/>
          </w:r>
          <w:r>
            <w:instrText xml:space="preserve"> PAGEREF _Toc232606967 \h </w:instrText>
          </w:r>
          <w:r>
            <w:fldChar w:fldCharType="separate"/>
          </w:r>
          <w:r>
            <w:t>24</w:t>
          </w:r>
          <w:r>
            <w:fldChar w:fldCharType="end"/>
          </w:r>
          <w:r>
            <w:fldChar w:fldCharType="end"/>
          </w:r>
        </w:p>
        <w:p>
          <w:pPr>
            <w:pStyle w:val="18"/>
            <w:tabs>
              <w:tab w:val="right" w:leader="dot" w:pos="8296"/>
            </w:tabs>
            <w:spacing w:line="480" w:lineRule="exact"/>
            <w:ind w:firstLine="640"/>
            <w:rPr>
              <w:rFonts w:asciiTheme="minorHAnsi" w:hAnsiTheme="minorHAnsi" w:eastAsiaTheme="minorEastAsia"/>
              <w:sz w:val="21"/>
              <w14:ligatures w14:val="none"/>
            </w:rPr>
          </w:pPr>
          <w:r>
            <w:fldChar w:fldCharType="begin"/>
          </w:r>
          <w:r>
            <w:instrText xml:space="preserve"> HYPERLINK \l "_Toc232606968" </w:instrText>
          </w:r>
          <w:r>
            <w:fldChar w:fldCharType="separate"/>
          </w:r>
          <w:r>
            <w:rPr>
              <w:rStyle w:val="26"/>
              <w:rFonts w:ascii="楷体_GB2312" w:hAnsi="楷体_GB2312" w:eastAsia="楷体_GB2312" w:cs="楷体_GB2312"/>
            </w:rPr>
            <w:t>（三）完善市场监管机制</w:t>
          </w:r>
          <w:r>
            <w:tab/>
          </w:r>
          <w:r>
            <w:fldChar w:fldCharType="begin"/>
          </w:r>
          <w:r>
            <w:instrText xml:space="preserve"> PAGEREF _Toc232606968 \h </w:instrText>
          </w:r>
          <w:r>
            <w:fldChar w:fldCharType="separate"/>
          </w:r>
          <w:r>
            <w:t>24</w:t>
          </w:r>
          <w:r>
            <w:fldChar w:fldCharType="end"/>
          </w:r>
          <w:r>
            <w:fldChar w:fldCharType="end"/>
          </w:r>
        </w:p>
        <w:p>
          <w:pPr>
            <w:pStyle w:val="15"/>
            <w:tabs>
              <w:tab w:val="right" w:leader="dot" w:pos="8296"/>
            </w:tabs>
            <w:spacing w:line="480" w:lineRule="exact"/>
            <w:rPr>
              <w:rFonts w:asciiTheme="minorHAnsi" w:hAnsiTheme="minorHAnsi" w:eastAsiaTheme="minorEastAsia"/>
              <w:b w:val="0"/>
              <w:sz w:val="21"/>
              <w14:ligatures w14:val="none"/>
            </w:rPr>
          </w:pPr>
          <w:r>
            <w:fldChar w:fldCharType="begin"/>
          </w:r>
          <w:r>
            <w:instrText xml:space="preserve"> HYPERLINK \l "_Toc232606970" </w:instrText>
          </w:r>
          <w:r>
            <w:fldChar w:fldCharType="separate"/>
          </w:r>
          <w:r>
            <w:rPr>
              <w:rStyle w:val="26"/>
              <w:rFonts w:ascii="黑体" w:hAnsi="黑体" w:eastAsia="黑体" w:cs="黑体"/>
              <w:b w:val="0"/>
            </w:rPr>
            <w:t>十</w:t>
          </w:r>
          <w:r>
            <w:rPr>
              <w:rStyle w:val="26"/>
              <w:rFonts w:hint="eastAsia" w:ascii="黑体" w:hAnsi="黑体" w:eastAsia="黑体" w:cs="黑体"/>
              <w:b w:val="0"/>
            </w:rPr>
            <w:t>二</w:t>
          </w:r>
          <w:r>
            <w:rPr>
              <w:rStyle w:val="26"/>
              <w:rFonts w:ascii="黑体" w:hAnsi="黑体" w:eastAsia="黑体" w:cs="黑体"/>
              <w:b w:val="0"/>
            </w:rPr>
            <w:t>、加强规划实施保障</w:t>
          </w:r>
          <w:r>
            <w:rPr>
              <w:b w:val="0"/>
            </w:rPr>
            <w:tab/>
          </w:r>
          <w:r>
            <w:rPr>
              <w:b w:val="0"/>
            </w:rPr>
            <w:fldChar w:fldCharType="begin"/>
          </w:r>
          <w:r>
            <w:rPr>
              <w:b w:val="0"/>
            </w:rPr>
            <w:instrText xml:space="preserve"> PAGEREF _Toc232606970 \h </w:instrText>
          </w:r>
          <w:r>
            <w:rPr>
              <w:b w:val="0"/>
            </w:rPr>
            <w:fldChar w:fldCharType="separate"/>
          </w:r>
          <w:r>
            <w:rPr>
              <w:b w:val="0"/>
            </w:rPr>
            <w:t>25</w:t>
          </w:r>
          <w:r>
            <w:rPr>
              <w:b w:val="0"/>
            </w:rPr>
            <w:fldChar w:fldCharType="end"/>
          </w:r>
          <w:r>
            <w:rPr>
              <w:b w:val="0"/>
            </w:rPr>
            <w:fldChar w:fldCharType="end"/>
          </w:r>
        </w:p>
        <w:p>
          <w:pPr>
            <w:spacing w:line="480" w:lineRule="exact"/>
            <w:ind w:firstLine="0" w:firstLineChars="0"/>
            <w:rPr>
              <w:color w:val="000000" w:themeColor="text1"/>
              <w14:textFill>
                <w14:solidFill>
                  <w14:schemeClr w14:val="tx1"/>
                </w14:solidFill>
              </w14:textFill>
            </w:rPr>
          </w:pPr>
          <w:r>
            <w:rPr>
              <w:color w:val="000000" w:themeColor="text1"/>
              <w:sz w:val="30"/>
              <w:szCs w:val="30"/>
              <w14:textFill>
                <w14:solidFill>
                  <w14:schemeClr w14:val="tx1"/>
                </w14:solidFill>
              </w14:textFill>
            </w:rPr>
            <w:fldChar w:fldCharType="end"/>
          </w:r>
        </w:p>
      </w:sdtContent>
    </w:sdt>
    <w:bookmarkEnd w:id="18"/>
    <w:p>
      <w:pPr>
        <w:spacing w:line="580" w:lineRule="exact"/>
        <w:ind w:firstLine="640"/>
        <w:rPr>
          <w:rFonts w:cs="仿宋_GB2312"/>
          <w:color w:val="000000" w:themeColor="text1"/>
          <w:szCs w:val="32"/>
          <w14:textFill>
            <w14:solidFill>
              <w14:schemeClr w14:val="tx1"/>
            </w14:solidFill>
          </w14:textFill>
          <w14:ligatures w14:val="none"/>
        </w:rPr>
        <w:sectPr>
          <w:headerReference r:id="rId13" w:type="first"/>
          <w:footerReference r:id="rId16" w:type="first"/>
          <w:headerReference r:id="rId11" w:type="default"/>
          <w:footerReference r:id="rId14" w:type="default"/>
          <w:headerReference r:id="rId12" w:type="even"/>
          <w:footerReference r:id="rId15" w:type="even"/>
          <w:pgSz w:w="11906" w:h="16838"/>
          <w:pgMar w:top="1440" w:right="1800" w:bottom="1440" w:left="1800" w:header="851" w:footer="850" w:gutter="0"/>
          <w:pgNumType w:start="1"/>
          <w:cols w:space="425" w:num="1"/>
          <w:titlePg/>
          <w:docGrid w:type="lines" w:linePitch="435" w:charSpace="0"/>
        </w:sectPr>
      </w:pPr>
    </w:p>
    <w:p>
      <w:pPr>
        <w:spacing w:line="600" w:lineRule="exact"/>
        <w:ind w:firstLine="640"/>
        <w:rPr>
          <w:rFonts w:hint="eastAsia" w:ascii="仿宋_GB2312" w:hAnsi="仿宋"/>
          <w:color w:val="000000" w:themeColor="text1"/>
          <w:szCs w:val="32"/>
          <w14:textFill>
            <w14:solidFill>
              <w14:schemeClr w14:val="tx1"/>
            </w14:solidFill>
          </w14:textFill>
        </w:rPr>
      </w:pPr>
      <w:r>
        <w:rPr>
          <w:rFonts w:hint="eastAsia" w:cs="仿宋_GB2312"/>
          <w:color w:val="000000" w:themeColor="text1"/>
          <w:szCs w:val="32"/>
          <w14:textFill>
            <w14:solidFill>
              <w14:schemeClr w14:val="tx1"/>
            </w14:solidFill>
          </w14:textFill>
          <w14:ligatures w14:val="none"/>
        </w:rPr>
        <w:t>为深入贯彻落实习近平总书记关于交通强国的重要论述和在东北、辽宁考察时重要讲话和指示批示精神，完善</w:t>
      </w:r>
      <w:r>
        <w:rPr>
          <w:rFonts w:hint="eastAsia" w:ascii="仿宋_GB2312" w:hAnsi="仿宋" w:cs="仿宋_GB2312"/>
          <w:color w:val="000000" w:themeColor="text1"/>
          <w:szCs w:val="32"/>
          <w14:textFill>
            <w14:solidFill>
              <w14:schemeClr w14:val="tx1"/>
            </w14:solidFill>
          </w14:textFill>
          <w14:ligatures w14:val="none"/>
        </w:rPr>
        <w:t>营口</w:t>
      </w:r>
      <w:r>
        <w:rPr>
          <w:rFonts w:hint="eastAsia" w:cs="仿宋_GB2312"/>
          <w:color w:val="000000" w:themeColor="text1"/>
          <w:szCs w:val="32"/>
          <w14:textFill>
            <w14:solidFill>
              <w14:schemeClr w14:val="tx1"/>
            </w14:solidFill>
          </w14:textFill>
          <w14:ligatures w14:val="none"/>
        </w:rPr>
        <w:t>现代化综合交通运输体系，</w:t>
      </w:r>
      <w:r>
        <w:rPr>
          <w:rFonts w:hint="eastAsia" w:ascii="仿宋_GB2312" w:hAnsi="仿宋" w:cs="仿宋_GB2312"/>
          <w:color w:val="000000" w:themeColor="text1"/>
          <w:szCs w:val="32"/>
          <w14:textFill>
            <w14:solidFill>
              <w14:schemeClr w14:val="tx1"/>
            </w14:solidFill>
          </w14:textFill>
          <w14:ligatures w14:val="none"/>
        </w:rPr>
        <w:t>助力</w:t>
      </w:r>
      <w:r>
        <w:rPr>
          <w:rFonts w:hint="eastAsia" w:cs="仿宋_GB2312"/>
          <w:color w:val="000000" w:themeColor="text1"/>
          <w:szCs w:val="32"/>
          <w14:textFill>
            <w14:solidFill>
              <w14:schemeClr w14:val="tx1"/>
            </w14:solidFill>
          </w14:textFill>
          <w14:ligatures w14:val="none"/>
        </w:rPr>
        <w:t>加快建设交通强省，有力支撑</w:t>
      </w:r>
      <w:r>
        <w:rPr>
          <w:rFonts w:hint="eastAsia" w:ascii="仿宋_GB2312" w:hAnsi="仿宋" w:cs="仿宋_GB2312"/>
          <w:color w:val="000000" w:themeColor="text1"/>
          <w:szCs w:val="32"/>
          <w14:textFill>
            <w14:solidFill>
              <w14:schemeClr w14:val="tx1"/>
            </w14:solidFill>
          </w14:textFill>
          <w14:ligatures w14:val="none"/>
        </w:rPr>
        <w:t>营口</w:t>
      </w:r>
      <w:r>
        <w:rPr>
          <w:rFonts w:hint="eastAsia" w:cs="仿宋_GB2312"/>
          <w:color w:val="000000" w:themeColor="text1"/>
          <w:szCs w:val="32"/>
          <w14:textFill>
            <w14:solidFill>
              <w14:schemeClr w14:val="tx1"/>
            </w14:solidFill>
          </w14:textFill>
          <w14:ligatures w14:val="none"/>
        </w:rPr>
        <w:t>在新时代</w:t>
      </w:r>
      <w:r>
        <w:rPr>
          <w:rFonts w:hint="eastAsia" w:ascii="仿宋_GB2312" w:hAnsi="仿宋" w:cs="仿宋_GB2312"/>
          <w:color w:val="000000" w:themeColor="text1"/>
          <w:szCs w:val="32"/>
          <w14:textFill>
            <w14:solidFill>
              <w14:schemeClr w14:val="tx1"/>
            </w14:solidFill>
          </w14:textFill>
          <w14:ligatures w14:val="none"/>
        </w:rPr>
        <w:t>东北、辽宁</w:t>
      </w:r>
      <w:r>
        <w:rPr>
          <w:rFonts w:hint="eastAsia" w:cs="仿宋_GB2312"/>
          <w:color w:val="000000" w:themeColor="text1"/>
          <w:szCs w:val="32"/>
          <w14:textFill>
            <w14:solidFill>
              <w14:schemeClr w14:val="tx1"/>
            </w14:solidFill>
          </w14:textFill>
          <w14:ligatures w14:val="none"/>
        </w:rPr>
        <w:t>全面振兴中勇于争先率先突破，根据《</w:t>
      </w:r>
      <w:r>
        <w:rPr>
          <w:rFonts w:hint="eastAsia" w:ascii="仿宋_GB2312" w:hAnsi="仿宋" w:cs="仿宋_GB2312"/>
          <w:color w:val="000000" w:themeColor="text1"/>
          <w:szCs w:val="32"/>
          <w14:textFill>
            <w14:solidFill>
              <w14:schemeClr w14:val="tx1"/>
            </w14:solidFill>
          </w14:textFill>
          <w14:ligatures w14:val="none"/>
        </w:rPr>
        <w:t>营口市</w:t>
      </w:r>
      <w:r>
        <w:rPr>
          <w:rFonts w:hint="eastAsia" w:cs="仿宋_GB2312"/>
          <w:color w:val="000000" w:themeColor="text1"/>
          <w:szCs w:val="32"/>
          <w14:textFill>
            <w14:solidFill>
              <w14:schemeClr w14:val="tx1"/>
            </w14:solidFill>
          </w14:textFill>
          <w14:ligatures w14:val="none"/>
        </w:rPr>
        <w:t>国民经济和社会发展第十五个五年规划纲要》</w:t>
      </w:r>
      <w:r>
        <w:rPr>
          <w:rFonts w:hint="eastAsia" w:ascii="仿宋_GB2312" w:hAnsi="仿宋" w:cs="仿宋_GB2312"/>
          <w:color w:val="000000" w:themeColor="text1"/>
          <w:szCs w:val="32"/>
          <w14:textFill>
            <w14:solidFill>
              <w14:schemeClr w14:val="tx1"/>
            </w14:solidFill>
          </w14:textFill>
          <w14:ligatures w14:val="none"/>
        </w:rPr>
        <w:t>、</w:t>
      </w:r>
      <w:r>
        <w:rPr>
          <w:rFonts w:hint="eastAsia" w:cs="仿宋_GB2312"/>
          <w:color w:val="000000" w:themeColor="text1"/>
          <w:szCs w:val="32"/>
          <w14:textFill>
            <w14:solidFill>
              <w14:schemeClr w14:val="tx1"/>
            </w14:solidFill>
          </w14:textFill>
          <w14:ligatures w14:val="none"/>
        </w:rPr>
        <w:t>《</w:t>
      </w:r>
      <w:r>
        <w:rPr>
          <w:rFonts w:hint="eastAsia" w:ascii="仿宋_GB2312" w:hAnsi="仿宋" w:cs="仿宋_GB2312"/>
          <w:color w:val="000000" w:themeColor="text1"/>
          <w:szCs w:val="32"/>
          <w14:textFill>
            <w14:solidFill>
              <w14:schemeClr w14:val="tx1"/>
            </w14:solidFill>
          </w14:textFill>
          <w14:ligatures w14:val="none"/>
        </w:rPr>
        <w:t>辽宁省“十五五”综合交通运输发展规划</w:t>
      </w:r>
      <w:r>
        <w:rPr>
          <w:rFonts w:hint="eastAsia" w:cs="仿宋_GB2312"/>
          <w:color w:val="000000" w:themeColor="text1"/>
          <w:szCs w:val="32"/>
          <w14:textFill>
            <w14:solidFill>
              <w14:schemeClr w14:val="tx1"/>
            </w14:solidFill>
          </w14:textFill>
          <w14:ligatures w14:val="none"/>
        </w:rPr>
        <w:t>》制定本规划。</w:t>
      </w:r>
      <w:bookmarkEnd w:id="19"/>
    </w:p>
    <w:p>
      <w:pPr>
        <w:spacing w:line="600" w:lineRule="exact"/>
        <w:ind w:firstLine="640"/>
        <w:outlineLvl w:val="0"/>
        <w:rPr>
          <w:color w:val="000000" w:themeColor="text1"/>
          <w14:textFill>
            <w14:solidFill>
              <w14:schemeClr w14:val="tx1"/>
            </w14:solidFill>
          </w14:textFill>
        </w:rPr>
      </w:pPr>
      <w:bookmarkStart w:id="20" w:name="_Toc232606918"/>
      <w:bookmarkStart w:id="21" w:name="OLE_LINK2"/>
      <w:r>
        <w:rPr>
          <w:rFonts w:hint="eastAsia" w:ascii="黑体" w:hAnsi="黑体" w:eastAsia="黑体" w:cs="黑体"/>
          <w:color w:val="000000" w:themeColor="text1"/>
          <w:szCs w:val="32"/>
          <w14:textFill>
            <w14:solidFill>
              <w14:schemeClr w14:val="tx1"/>
            </w14:solidFill>
          </w14:textFill>
        </w:rPr>
        <w:t>一、发展环境</w:t>
      </w:r>
      <w:bookmarkEnd w:id="20"/>
    </w:p>
    <w:p>
      <w:pPr>
        <w:topLinePunct/>
        <w:spacing w:line="600" w:lineRule="exact"/>
        <w:ind w:firstLine="639" w:firstLineChars="199"/>
        <w:outlineLvl w:val="1"/>
        <w:rPr>
          <w:rFonts w:ascii="楷体_GB2312" w:eastAsia="楷体_GB2312"/>
          <w:b/>
          <w:color w:val="000000" w:themeColor="text1"/>
          <w14:textFill>
            <w14:solidFill>
              <w14:schemeClr w14:val="tx1"/>
            </w14:solidFill>
          </w14:textFill>
        </w:rPr>
      </w:pPr>
      <w:bookmarkStart w:id="22" w:name="_Toc232606919"/>
      <w:r>
        <w:rPr>
          <w:rFonts w:hint="eastAsia" w:ascii="楷体_GB2312" w:hAnsi="楷体_GB2312" w:eastAsia="楷体_GB2312" w:cs="楷体_GB2312"/>
          <w:b/>
          <w:color w:val="000000" w:themeColor="text1"/>
          <w:szCs w:val="32"/>
          <w14:textFill>
            <w14:solidFill>
              <w14:schemeClr w14:val="tx1"/>
            </w14:solidFill>
          </w14:textFill>
        </w:rPr>
        <w:t>（一）发展基础</w:t>
      </w:r>
      <w:bookmarkEnd w:id="22"/>
    </w:p>
    <w:p>
      <w:pPr>
        <w:spacing w:line="600" w:lineRule="exact"/>
        <w:ind w:firstLine="643"/>
        <w:rPr>
          <w:rFonts w:hint="eastAsia" w:ascii="仿宋_GB2312" w:hAnsi="仿宋"/>
          <w:color w:val="000000" w:themeColor="text1"/>
          <w:szCs w:val="32"/>
          <w14:textFill>
            <w14:solidFill>
              <w14:schemeClr w14:val="tx1"/>
            </w14:solidFill>
          </w14:textFill>
        </w:rPr>
      </w:pPr>
      <w:bookmarkStart w:id="23" w:name="_Toc204865719"/>
      <w:bookmarkStart w:id="24" w:name="OLE_LINK28"/>
      <w:r>
        <w:rPr>
          <w:rFonts w:hint="eastAsia" w:cs="Times New Roman"/>
          <w:b/>
          <w:bCs/>
          <w:color w:val="000000" w:themeColor="text1"/>
          <w14:textFill>
            <w14:solidFill>
              <w14:schemeClr w14:val="tx1"/>
            </w14:solidFill>
          </w14:textFill>
        </w:rPr>
        <w:t>交通建设投资稳步</w:t>
      </w:r>
      <w:bookmarkEnd w:id="23"/>
      <w:bookmarkEnd w:id="24"/>
      <w:r>
        <w:rPr>
          <w:rFonts w:hint="eastAsia" w:cs="Times New Roman"/>
          <w:b/>
          <w:bCs/>
          <w:color w:val="000000" w:themeColor="text1"/>
          <w14:textFill>
            <w14:solidFill>
              <w14:schemeClr w14:val="tx1"/>
            </w14:solidFill>
          </w14:textFill>
        </w:rPr>
        <w:t>增长。</w:t>
      </w:r>
      <w:r>
        <w:rPr>
          <w:rFonts w:hint="eastAsia" w:cs="Times New Roman"/>
          <w:color w:val="000000" w:themeColor="text1"/>
          <w14:textFill>
            <w14:solidFill>
              <w14:schemeClr w14:val="tx1"/>
            </w14:solidFill>
          </w14:textFill>
        </w:rPr>
        <w:t>“十四五”期间，</w:t>
      </w:r>
      <w:bookmarkStart w:id="25" w:name="OLE_LINK32"/>
      <w:bookmarkStart w:id="26" w:name="OLE_LINK33"/>
      <w:r>
        <w:rPr>
          <w:rFonts w:hint="eastAsia" w:cs="Times New Roman"/>
          <w:color w:val="000000" w:themeColor="text1"/>
          <w14:textFill>
            <w14:solidFill>
              <w14:schemeClr w14:val="tx1"/>
            </w14:solidFill>
          </w14:textFill>
        </w:rPr>
        <w:t>实施港口水运、高速公路、普通公路等重点项目</w:t>
      </w:r>
      <w:bookmarkEnd w:id="25"/>
      <w:r>
        <w:rPr>
          <w:rFonts w:hint="eastAsia" w:cs="Times New Roman"/>
          <w:color w:val="000000" w:themeColor="text1"/>
          <w14:textFill>
            <w14:solidFill>
              <w14:schemeClr w14:val="tx1"/>
            </w14:solidFill>
          </w14:textFill>
        </w:rPr>
        <w:t>25个，累计完成交通固定资产投资67.8亿元</w:t>
      </w:r>
      <w:bookmarkEnd w:id="26"/>
      <w:r>
        <w:rPr>
          <w:rFonts w:hint="eastAsia" w:cs="Times New Roman"/>
          <w:color w:val="000000" w:themeColor="text1"/>
          <w14:textFill>
            <w14:solidFill>
              <w14:schemeClr w14:val="tx1"/>
            </w14:solidFill>
          </w14:textFill>
        </w:rPr>
        <w:t>，较“十三五”同比增长56%，交通建设投资增速远高于同期地区生产总值。</w:t>
      </w:r>
    </w:p>
    <w:bookmarkEnd w:id="21"/>
    <w:p>
      <w:pPr>
        <w:spacing w:line="600" w:lineRule="exact"/>
        <w:ind w:firstLine="643"/>
        <w:rPr>
          <w:rFonts w:cs="Times New Roman"/>
          <w:color w:val="000000" w:themeColor="text1"/>
          <w:szCs w:val="32"/>
          <w14:textFill>
            <w14:solidFill>
              <w14:schemeClr w14:val="tx1"/>
            </w14:solidFill>
          </w14:textFill>
        </w:rPr>
      </w:pPr>
      <w:r>
        <w:rPr>
          <w:rFonts w:hint="eastAsia" w:cs="Times New Roman"/>
          <w:b/>
          <w:bCs/>
          <w:color w:val="000000" w:themeColor="text1"/>
          <w14:textFill>
            <w14:solidFill>
              <w14:schemeClr w14:val="tx1"/>
            </w14:solidFill>
          </w14:textFill>
        </w:rPr>
        <w:t>综合立体交通网加快完善。</w:t>
      </w:r>
      <w:r>
        <w:rPr>
          <w:rFonts w:hint="eastAsia" w:cs="Times New Roman"/>
          <w:color w:val="000000" w:themeColor="text1"/>
          <w:szCs w:val="32"/>
          <w14:textFill>
            <w14:solidFill>
              <w14:schemeClr w14:val="tx1"/>
            </w14:solidFill>
          </w14:textFill>
        </w:rPr>
        <w:t>推动仙人岛港区疏港高速公路建成通车、</w:t>
      </w:r>
      <w:bookmarkStart w:id="27" w:name="OLE_LINK40"/>
      <w:r>
        <w:rPr>
          <w:rFonts w:hint="eastAsia" w:cs="Times New Roman"/>
          <w:color w:val="000000" w:themeColor="text1"/>
          <w:szCs w:val="32"/>
          <w14:textFill>
            <w14:solidFill>
              <w14:schemeClr w14:val="tx1"/>
            </w14:solidFill>
          </w14:textFill>
        </w:rPr>
        <w:t>鲅鱼圈港区疏港高速公路加快建设</w:t>
      </w:r>
      <w:bookmarkEnd w:id="27"/>
      <w:r>
        <w:rPr>
          <w:rFonts w:hint="eastAsia" w:cs="Times New Roman"/>
          <w:color w:val="000000" w:themeColor="text1"/>
          <w:szCs w:val="32"/>
          <w14:textFill>
            <w14:solidFill>
              <w14:schemeClr w14:val="tx1"/>
            </w14:solidFill>
          </w14:textFill>
        </w:rPr>
        <w:t>。</w:t>
      </w:r>
      <w:bookmarkStart w:id="28" w:name="OLE_LINK34"/>
      <w:r>
        <w:rPr>
          <w:rFonts w:hint="eastAsia" w:cs="Times New Roman"/>
          <w:color w:val="000000" w:themeColor="text1"/>
          <w14:textFill>
            <w14:solidFill>
              <w14:schemeClr w14:val="tx1"/>
            </w14:solidFill>
          </w14:textFill>
        </w:rPr>
        <w:t>实施营口汇丰、五矿中板铁路专用线扩能改造</w:t>
      </w:r>
      <w:bookmarkEnd w:id="28"/>
      <w:r>
        <w:rPr>
          <w:rFonts w:hint="eastAsia" w:cs="Times New Roman"/>
          <w:color w:val="000000" w:themeColor="text1"/>
          <w14:textFill>
            <w14:solidFill>
              <w14:schemeClr w14:val="tx1"/>
            </w14:solidFill>
          </w14:textFill>
        </w:rPr>
        <w:t>。</w:t>
      </w:r>
      <w:r>
        <w:rPr>
          <w:rFonts w:hint="eastAsia" w:cs="Times New Roman"/>
          <w:color w:val="000000" w:themeColor="text1"/>
          <w:szCs w:val="32"/>
          <w14:textFill>
            <w14:solidFill>
              <w14:schemeClr w14:val="tx1"/>
            </w14:solidFill>
          </w14:textFill>
        </w:rPr>
        <w:t>实施庄西线绕城公路老边段新建工程，建设改造普通干线公路550公里，农村公路1000公里。</w:t>
      </w:r>
    </w:p>
    <w:p>
      <w:pPr>
        <w:spacing w:line="600" w:lineRule="exact"/>
        <w:ind w:firstLine="643"/>
        <w:rPr>
          <w:rFonts w:cs="Times New Roman"/>
          <w:color w:val="000000" w:themeColor="text1"/>
          <w:szCs w:val="32"/>
          <w14:textFill>
            <w14:solidFill>
              <w14:schemeClr w14:val="tx1"/>
            </w14:solidFill>
          </w14:textFill>
        </w:rPr>
      </w:pPr>
      <w:r>
        <w:rPr>
          <w:rFonts w:hint="eastAsia" w:cs="Times New Roman"/>
          <w:b/>
          <w:bCs/>
          <w:color w:val="000000" w:themeColor="text1"/>
          <w14:textFill>
            <w14:solidFill>
              <w14:schemeClr w14:val="tx1"/>
            </w14:solidFill>
          </w14:textFill>
        </w:rPr>
        <w:t>枢纽港站建设成效显著。</w:t>
      </w:r>
      <w:r>
        <w:rPr>
          <w:rFonts w:hint="eastAsia" w:cs="Times New Roman"/>
          <w:color w:val="000000" w:themeColor="text1"/>
          <w:szCs w:val="32"/>
          <w14:textFill>
            <w14:solidFill>
              <w14:schemeClr w14:val="tx1"/>
            </w14:solidFill>
          </w14:textFill>
        </w:rPr>
        <w:t>完成市县客运站维修改造3个。实施营口港鲅鱼圈北部港区散货工艺系统改造、钢杂泊位改造一期工程，仙人岛港区原油码头、LNG接收站配套码头新建工程主体完工，港口泊位总数达72个，其中万吨级泊位数达63个。</w:t>
      </w:r>
      <w:bookmarkStart w:id="29" w:name="OLE_LINK8"/>
      <w:r>
        <w:rPr>
          <w:rFonts w:hint="eastAsia" w:cs="Times New Roman"/>
          <w:color w:val="000000" w:themeColor="text1"/>
          <w:szCs w:val="32"/>
          <w14:textFill>
            <w14:solidFill>
              <w14:schemeClr w14:val="tx1"/>
            </w14:solidFill>
          </w14:textFill>
        </w:rPr>
        <w:t>推进营口正丰、辽南中顺冷链、万通化工储运等物流园区建设。营口港口型国家物流枢纽功能持续增强。</w:t>
      </w:r>
    </w:p>
    <w:bookmarkEnd w:id="29"/>
    <w:p>
      <w:pPr>
        <w:spacing w:line="600" w:lineRule="exact"/>
        <w:ind w:firstLine="643"/>
        <w:jc w:val="left"/>
        <w:rPr>
          <w:color w:val="000000" w:themeColor="text1"/>
          <w14:textFill>
            <w14:solidFill>
              <w14:schemeClr w14:val="tx1"/>
            </w14:solidFill>
          </w14:textFill>
        </w:rPr>
      </w:pPr>
      <w:r>
        <w:rPr>
          <w:rFonts w:hint="eastAsia" w:cs="Times New Roman"/>
          <w:b/>
          <w:bCs/>
          <w:color w:val="000000" w:themeColor="text1"/>
          <w14:textFill>
            <w14:solidFill>
              <w14:schemeClr w14:val="tx1"/>
            </w14:solidFill>
          </w14:textFill>
        </w:rPr>
        <w:t>运输服务能力显著增强。</w:t>
      </w:r>
      <w:r>
        <w:rPr>
          <w:rFonts w:hint="eastAsia"/>
          <w:color w:val="000000" w:themeColor="text1"/>
          <w14:textFill>
            <w14:solidFill>
              <w14:schemeClr w14:val="tx1"/>
            </w14:solidFill>
          </w14:textFill>
        </w:rPr>
        <w:t>兰旗机场累计运营航线10条，完成营口至大石桥、营口至盖州公交化改造，积极发展定制客运、旅游专线等。</w:t>
      </w:r>
      <w:bookmarkStart w:id="30" w:name="OLE_LINK63"/>
      <w:bookmarkStart w:id="31" w:name="OLE_LINK11"/>
      <w:r>
        <w:rPr>
          <w:rFonts w:hint="eastAsia"/>
          <w:color w:val="000000" w:themeColor="text1"/>
          <w14:textFill>
            <w14:solidFill>
              <w14:schemeClr w14:val="tx1"/>
            </w14:solidFill>
          </w14:textFill>
        </w:rPr>
        <w:t>大力推进国家、省级多式联运示范工程建设，</w:t>
      </w:r>
      <w:bookmarkEnd w:id="30"/>
      <w:bookmarkEnd w:id="31"/>
      <w:bookmarkStart w:id="32" w:name="OLE_LINK69"/>
      <w:r>
        <w:rPr>
          <w:rFonts w:hint="eastAsia"/>
          <w:color w:val="000000" w:themeColor="text1"/>
          <w14:textFill>
            <w14:solidFill>
              <w14:schemeClr w14:val="tx1"/>
            </w14:solidFill>
          </w14:textFill>
        </w:rPr>
        <w:t>海铁联运量累计完成423万标准箱</w:t>
      </w:r>
      <w:bookmarkEnd w:id="32"/>
      <w:r>
        <w:rPr>
          <w:rFonts w:hint="eastAsia"/>
          <w:color w:val="000000" w:themeColor="text1"/>
          <w14:textFill>
            <w14:solidFill>
              <w14:schemeClr w14:val="tx1"/>
            </w14:solidFill>
          </w14:textFill>
        </w:rPr>
        <w:t>，</w:t>
      </w:r>
      <w:bookmarkStart w:id="33" w:name="OLE_LINK70"/>
      <w:r>
        <w:rPr>
          <w:rFonts w:hint="eastAsia"/>
          <w:color w:val="000000" w:themeColor="text1"/>
          <w14:textFill>
            <w14:solidFill>
              <w14:schemeClr w14:val="tx1"/>
            </w14:solidFill>
          </w14:textFill>
        </w:rPr>
        <w:t>居东北首位。开展跨境公路运输，培育国际道路运输企业10家。</w:t>
      </w:r>
      <w:r>
        <w:rPr>
          <w:color w:val="000000" w:themeColor="text1"/>
          <w14:textFill>
            <w14:solidFill>
              <w14:schemeClr w14:val="tx1"/>
            </w14:solidFill>
          </w14:textFill>
        </w:rPr>
        <w:t>引航服务满意度100%。</w:t>
      </w:r>
    </w:p>
    <w:bookmarkEnd w:id="33"/>
    <w:p>
      <w:pPr>
        <w:spacing w:line="600" w:lineRule="exact"/>
        <w:ind w:firstLine="643"/>
        <w:rPr>
          <w:rFonts w:cs="Times New Roman"/>
          <w:color w:val="000000" w:themeColor="text1"/>
          <w:kern w:val="0"/>
          <w:szCs w:val="32"/>
          <w14:textFill>
            <w14:solidFill>
              <w14:schemeClr w14:val="tx1"/>
            </w14:solidFill>
          </w14:textFill>
        </w:rPr>
      </w:pPr>
      <w:r>
        <w:rPr>
          <w:rFonts w:hint="eastAsia" w:cs="Times New Roman"/>
          <w:b/>
          <w:bCs/>
          <w:color w:val="000000" w:themeColor="text1"/>
          <w14:textFill>
            <w14:solidFill>
              <w14:schemeClr w14:val="tx1"/>
            </w14:solidFill>
          </w14:textFill>
        </w:rPr>
        <w:t>转型融合发展加速推进。</w:t>
      </w:r>
      <w:r>
        <w:rPr>
          <w:rFonts w:hint="eastAsia"/>
          <w:color w:val="000000" w:themeColor="text1"/>
          <w14:textFill>
            <w14:solidFill>
              <w14:schemeClr w14:val="tx1"/>
            </w14:solidFill>
          </w14:textFill>
        </w:rPr>
        <w:t>营口港集装箱自动化码头投入运营，智能交通监管服务平台全面升级。</w:t>
      </w:r>
      <w:r>
        <w:rPr>
          <w:color w:val="000000" w:themeColor="text1"/>
          <w14:textFill>
            <w14:solidFill>
              <w14:schemeClr w14:val="tx1"/>
            </w14:solidFill>
          </w14:textFill>
        </w:rPr>
        <w:t>大型工矿企业绿色运输占比</w:t>
      </w:r>
      <w:r>
        <w:rPr>
          <w:rFonts w:hint="eastAsia"/>
          <w:color w:val="000000" w:themeColor="text1"/>
          <w14:textFill>
            <w14:solidFill>
              <w14:schemeClr w14:val="tx1"/>
            </w14:solidFill>
          </w14:textFill>
        </w:rPr>
        <w:t>持续保持80</w:t>
      </w:r>
      <w:r>
        <w:rPr>
          <w:color w:val="000000" w:themeColor="text1"/>
          <w14:textFill>
            <w14:solidFill>
              <w14:schemeClr w14:val="tx1"/>
            </w14:solidFill>
          </w14:textFill>
        </w:rPr>
        <w:t>%以上</w:t>
      </w:r>
      <w:r>
        <w:rPr>
          <w:rFonts w:hint="eastAsia"/>
          <w:color w:val="000000" w:themeColor="text1"/>
          <w14:textFill>
            <w14:solidFill>
              <w14:schemeClr w14:val="tx1"/>
            </w14:solidFill>
          </w14:textFill>
        </w:rPr>
        <w:t>，营口港铁矿石、煤炭绿色疏运比例达89%</w:t>
      </w:r>
      <w:bookmarkStart w:id="34" w:name="OLE_LINK74"/>
      <w:r>
        <w:rPr>
          <w:rFonts w:hint="eastAsia"/>
          <w:color w:val="000000" w:themeColor="text1"/>
          <w14:textFill>
            <w14:solidFill>
              <w14:schemeClr w14:val="tx1"/>
            </w14:solidFill>
          </w14:textFill>
        </w:rPr>
        <w:t>，大力推进新能源清洁能源应用。</w:t>
      </w:r>
      <w:bookmarkEnd w:id="34"/>
      <w:r>
        <w:rPr>
          <w:rFonts w:hint="eastAsia"/>
          <w:color w:val="000000" w:themeColor="text1"/>
          <w14:textFill>
            <w14:solidFill>
              <w14:schemeClr w14:val="tx1"/>
            </w14:solidFill>
          </w14:textFill>
        </w:rPr>
        <w:t>建成</w:t>
      </w:r>
      <w:r>
        <w:rPr>
          <w:rFonts w:hint="eastAsia" w:cs="Times New Roman"/>
          <w:color w:val="000000" w:themeColor="text1"/>
          <w:kern w:val="0"/>
          <w:szCs w:val="32"/>
          <w14:textFill>
            <w14:solidFill>
              <w14:schemeClr w14:val="tx1"/>
            </w14:solidFill>
          </w14:textFill>
        </w:rPr>
        <w:t>营口滨海温泉大道，打造营口首条旅游公路品牌；开通“大辽河晚渡航线”，推动河海旅游加快发展。</w:t>
      </w:r>
    </w:p>
    <w:p>
      <w:pPr>
        <w:spacing w:line="600" w:lineRule="exact"/>
        <w:ind w:firstLine="643"/>
        <w:rPr>
          <w:color w:val="000000" w:themeColor="text1"/>
          <w14:textFill>
            <w14:solidFill>
              <w14:schemeClr w14:val="tx1"/>
            </w14:solidFill>
          </w14:textFill>
        </w:rPr>
      </w:pPr>
      <w:bookmarkStart w:id="35" w:name="OLE_LINK82"/>
      <w:r>
        <w:rPr>
          <w:rFonts w:hint="eastAsia" w:cs="Times New Roman"/>
          <w:b/>
          <w:bCs/>
          <w:color w:val="000000" w:themeColor="text1"/>
          <w14:textFill>
            <w14:solidFill>
              <w14:schemeClr w14:val="tx1"/>
            </w14:solidFill>
          </w14:textFill>
        </w:rPr>
        <w:t>行业治理能力不断提升</w:t>
      </w:r>
      <w:bookmarkEnd w:id="35"/>
      <w:bookmarkStart w:id="36" w:name="OLE_LINK90"/>
      <w:bookmarkStart w:id="37" w:name="OLE_LINK83"/>
      <w:r>
        <w:rPr>
          <w:rFonts w:hint="eastAsia" w:cs="Times New Roman"/>
          <w:b/>
          <w:bCs/>
          <w:color w:val="000000" w:themeColor="text1"/>
          <w14:textFill>
            <w14:solidFill>
              <w14:schemeClr w14:val="tx1"/>
            </w14:solidFill>
          </w14:textFill>
        </w:rPr>
        <w:t>。</w:t>
      </w:r>
      <w:bookmarkEnd w:id="36"/>
      <w:r>
        <w:rPr>
          <w:rFonts w:hint="eastAsia"/>
          <w:color w:val="000000" w:themeColor="text1"/>
          <w14:textFill>
            <w14:solidFill>
              <w14:schemeClr w14:val="tx1"/>
            </w14:solidFill>
          </w14:textFill>
        </w:rPr>
        <w:t>科学优化顶层设计，全面实施规划引领。全力推进“一网通办”工作，交通行政许可办理时限压缩50%，政务服务实现100%网上办。在全省率先实行安全生产行政处罚裁量基准化，成功举办首届交通执法大练兵。执法规范化水平大幅提升，防灾应急机制不断健全。</w:t>
      </w:r>
    </w:p>
    <w:p>
      <w:pPr>
        <w:topLinePunct/>
        <w:spacing w:line="600" w:lineRule="exact"/>
        <w:ind w:firstLine="639" w:firstLineChars="199"/>
        <w:outlineLvl w:val="1"/>
        <w:rPr>
          <w:rFonts w:hint="eastAsia" w:ascii="楷体_GB2312" w:hAnsi="楷体_GB2312" w:eastAsia="楷体_GB2312" w:cs="楷体_GB2312"/>
          <w:b/>
          <w:color w:val="000000" w:themeColor="text1"/>
          <w:szCs w:val="32"/>
          <w14:textFill>
            <w14:solidFill>
              <w14:schemeClr w14:val="tx1"/>
            </w14:solidFill>
          </w14:textFill>
        </w:rPr>
      </w:pPr>
      <w:bookmarkStart w:id="38" w:name="_Toc232606920"/>
      <w:r>
        <w:rPr>
          <w:rFonts w:hint="eastAsia" w:ascii="楷体_GB2312" w:hAnsi="楷体_GB2312" w:eastAsia="楷体_GB2312" w:cs="楷体_GB2312"/>
          <w:b/>
          <w:color w:val="000000" w:themeColor="text1"/>
          <w:szCs w:val="32"/>
          <w14:textFill>
            <w14:solidFill>
              <w14:schemeClr w14:val="tx1"/>
            </w14:solidFill>
          </w14:textFill>
        </w:rPr>
        <w:t>（二）形势要求</w:t>
      </w:r>
      <w:bookmarkEnd w:id="38"/>
    </w:p>
    <w:p>
      <w:pPr>
        <w:spacing w:line="600" w:lineRule="exact"/>
        <w:ind w:firstLine="640"/>
        <w:rPr>
          <w:rFonts w:cs="Times New Roman"/>
          <w:b/>
          <w:bCs/>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“十五五”时期，</w:t>
      </w:r>
      <w:bookmarkEnd w:id="37"/>
      <w:r>
        <w:rPr>
          <w:rFonts w:hint="eastAsia" w:cs="Times New Roman"/>
          <w:color w:val="000000" w:themeColor="text1"/>
          <w14:textFill>
            <w14:solidFill>
              <w14:schemeClr w14:val="tx1"/>
            </w14:solidFill>
          </w14:textFill>
        </w:rPr>
        <w:t>营口发展迎来推动高质量共建“一带一路”、建设东北海陆大通道、构建“一圈一带两区”发展格局等重大战略机遇</w:t>
      </w:r>
      <w:bookmarkStart w:id="39" w:name="_Toc211011523"/>
      <w:bookmarkStart w:id="40" w:name="_Toc205883227"/>
      <w:bookmarkStart w:id="41" w:name="_Toc205886441"/>
      <w:bookmarkStart w:id="42" w:name="_Toc205883223"/>
      <w:bookmarkStart w:id="43" w:name="_Toc205886445"/>
      <w:r>
        <w:rPr>
          <w:rFonts w:hint="eastAsia" w:cs="Times New Roman"/>
          <w:color w:val="000000" w:themeColor="text1"/>
          <w14:textFill>
            <w14:solidFill>
              <w14:schemeClr w14:val="tx1"/>
            </w14:solidFill>
          </w14:textFill>
        </w:rPr>
        <w:t>。</w:t>
      </w:r>
      <w:r>
        <w:rPr>
          <w:rFonts w:hint="eastAsia" w:cs="Times New Roman"/>
          <w:b/>
          <w:bCs/>
          <w:color w:val="000000" w:themeColor="text1"/>
          <w14:textFill>
            <w14:solidFill>
              <w14:schemeClr w14:val="tx1"/>
            </w14:solidFill>
          </w14:textFill>
        </w:rPr>
        <w:t>从国际看，</w:t>
      </w:r>
      <w:r>
        <w:rPr>
          <w:rFonts w:hint="eastAsia" w:cs="Times New Roman"/>
          <w:color w:val="000000" w:themeColor="text1"/>
          <w14:textFill>
            <w14:solidFill>
              <w14:schemeClr w14:val="tx1"/>
            </w14:solidFill>
          </w14:textFill>
        </w:rPr>
        <w:t>世界百年变局加速演进，新一轮科技革命和产业变革加速突破，世界经济增长动能不足，全球产业链供应链加速重构。营口是“一带一路”中蒙俄走廊</w:t>
      </w:r>
      <w:r>
        <w:rPr>
          <w:rFonts w:cs="Times New Roman"/>
          <w:color w:val="000000" w:themeColor="text1"/>
          <w14:textFill>
            <w14:solidFill>
              <w14:schemeClr w14:val="tx1"/>
            </w14:solidFill>
          </w14:textFill>
        </w:rPr>
        <w:t>重要海陆枢纽节点，</w:t>
      </w:r>
      <w:r>
        <w:rPr>
          <w:rFonts w:hint="eastAsia" w:cs="Times New Roman"/>
          <w:color w:val="000000" w:themeColor="text1"/>
          <w:kern w:val="0"/>
          <w:szCs w:val="32"/>
          <w:shd w:val="clear" w:color="auto" w:fill="FFFFFF"/>
          <w14:textFill>
            <w14:solidFill>
              <w14:schemeClr w14:val="tx1"/>
            </w14:solidFill>
          </w14:textFill>
        </w:rPr>
        <w:t>高水平参与“一带一路”国家经贸合作和提升产业链供应链韧性对营口市综合交通运输体系发展提出新挑战。</w:t>
      </w:r>
      <w:r>
        <w:rPr>
          <w:rFonts w:cs="Times New Roman"/>
          <w:b/>
          <w:bCs/>
          <w:color w:val="000000" w:themeColor="text1"/>
          <w14:textFill>
            <w14:solidFill>
              <w14:schemeClr w14:val="tx1"/>
            </w14:solidFill>
          </w14:textFill>
        </w:rPr>
        <w:t>从国内看，</w:t>
      </w:r>
      <w:r>
        <w:rPr>
          <w:rFonts w:hint="eastAsia" w:cs="Times New Roman"/>
          <w:snapToGrid w:val="0"/>
          <w:szCs w:val="32"/>
        </w:rPr>
        <w:t>高质量发展是推进中国式现代化建设的主线，经济布局优化调整和增长动能转换要求不断提高，</w:t>
      </w:r>
      <w:r>
        <w:rPr>
          <w:rFonts w:hint="eastAsia" w:cs="Times New Roman"/>
          <w:color w:val="000000" w:themeColor="text1"/>
          <w14:textFill>
            <w14:solidFill>
              <w14:schemeClr w14:val="tx1"/>
            </w14:solidFill>
          </w14:textFill>
        </w:rPr>
        <w:t>大力提振消费、扩大内需要求迫切，人口老龄化程度日益加深，新型城镇化深入推进，新质生产力引领作用不断加强，改革开放全面深化等对营口市综合交通运输体系发展提出新要求。</w:t>
      </w:r>
      <w:r>
        <w:rPr>
          <w:rFonts w:hint="eastAsia" w:cs="Times New Roman"/>
          <w:b/>
          <w:bCs/>
          <w:color w:val="000000" w:themeColor="text1"/>
          <w14:textFill>
            <w14:solidFill>
              <w14:schemeClr w14:val="tx1"/>
            </w14:solidFill>
          </w14:textFill>
        </w:rPr>
        <w:t>从全省看，</w:t>
      </w:r>
      <w:r>
        <w:rPr>
          <w:rFonts w:hint="eastAsia" w:cs="Times New Roman"/>
          <w:color w:val="000000" w:themeColor="text1"/>
          <w:kern w:val="0"/>
          <w:szCs w:val="32"/>
          <w:shd w:val="clear" w:color="auto" w:fill="FFFFFF"/>
          <w14:textFill>
            <w14:solidFill>
              <w14:schemeClr w14:val="tx1"/>
            </w14:solidFill>
          </w14:textFill>
        </w:rPr>
        <w:t>习近平总书记赋予辽宁“在推动新时代东北全面振兴取得新突破上勇于争先”的重大使命；习近平总书记在中央财经委员会第六次会议上指出，要研究谋划东北和南向陆海通道建设，为营口交通运输发展带来新机遇。</w:t>
      </w:r>
      <w:r>
        <w:rPr>
          <w:rFonts w:hint="eastAsia" w:cs="Times New Roman"/>
          <w:b/>
          <w:bCs/>
          <w:color w:val="000000" w:themeColor="text1"/>
          <w14:textFill>
            <w14:solidFill>
              <w14:schemeClr w14:val="tx1"/>
            </w14:solidFill>
          </w14:textFill>
        </w:rPr>
        <w:t>从营口看，</w:t>
      </w:r>
      <w:r>
        <w:rPr>
          <w:rFonts w:hint="eastAsia" w:cs="Times New Roman"/>
          <w:color w:val="000000" w:themeColor="text1"/>
          <w:kern w:val="0"/>
          <w:szCs w:val="32"/>
          <w:shd w:val="clear" w:color="auto" w:fill="FFFFFF"/>
          <w14:textFill>
            <w14:solidFill>
              <w14:schemeClr w14:val="tx1"/>
            </w14:solidFill>
          </w14:textFill>
        </w:rPr>
        <w:t>“十五五”时期，</w:t>
      </w:r>
      <w:r>
        <w:rPr>
          <w:rFonts w:cs="Times New Roman"/>
          <w:color w:val="000000" w:themeColor="text1"/>
          <w:kern w:val="0"/>
          <w:szCs w:val="32"/>
          <w:shd w:val="clear" w:color="auto" w:fill="FFFFFF"/>
          <w14:textFill>
            <w14:solidFill>
              <w14:schemeClr w14:val="tx1"/>
            </w14:solidFill>
          </w14:textFill>
        </w:rPr>
        <w:t>营口市处于全面振兴巩固拓展优势、破除瓶颈制约、补强短板弱项的战略机遇期、聚力攻坚期、重要窗口期。</w:t>
      </w:r>
      <w:r>
        <w:rPr>
          <w:rFonts w:hint="eastAsia" w:cs="Times New Roman"/>
          <w:color w:val="000000" w:themeColor="text1"/>
          <w:kern w:val="0"/>
          <w:szCs w:val="32"/>
          <w:shd w:val="clear" w:color="auto" w:fill="FFFFFF"/>
          <w14:textFill>
            <w14:solidFill>
              <w14:schemeClr w14:val="tx1"/>
            </w14:solidFill>
          </w14:textFill>
        </w:rPr>
        <w:t>要围绕国家综合交通枢纽城市和港口型国家物流枢纽城市定位，畅通内外联动海陆通道，提升跨区域人员交流和货物交换能力。要</w:t>
      </w:r>
      <w:r>
        <w:rPr>
          <w:rFonts w:hint="eastAsia"/>
          <w:color w:val="000000" w:themeColor="text1"/>
          <w:szCs w:val="32"/>
          <w14:textFill>
            <w14:solidFill>
              <w14:schemeClr w14:val="tx1"/>
            </w14:solidFill>
          </w14:textFill>
        </w:rPr>
        <w:t>切实</w:t>
      </w:r>
      <w:r>
        <w:rPr>
          <w:rFonts w:hint="eastAsia" w:cs="Times New Roman"/>
          <w:color w:val="000000" w:themeColor="text1"/>
          <w:kern w:val="0"/>
          <w:szCs w:val="32"/>
          <w:shd w:val="clear" w:color="auto" w:fill="FFFFFF"/>
          <w14:textFill>
            <w14:solidFill>
              <w14:schemeClr w14:val="tx1"/>
            </w14:solidFill>
          </w14:textFill>
        </w:rPr>
        <w:t>推动交通物流降本提质增效，</w:t>
      </w:r>
      <w:r>
        <w:rPr>
          <w:rFonts w:hint="eastAsia"/>
          <w:color w:val="000000" w:themeColor="text1"/>
          <w:szCs w:val="32"/>
          <w14:textFill>
            <w14:solidFill>
              <w14:schemeClr w14:val="tx1"/>
            </w14:solidFill>
          </w14:textFill>
        </w:rPr>
        <w:t>提升粮食、矿石重点物资运输保障能力。要加快培育交通运输新质生产力，推进“人工智能+交通运输”。要全面推进美丽营口建设，将绿色低碳发展理念贯穿交通运输发展全过程。要锚定维护国家“五大安全”使命，提升交通系统韧性和应急保障能力。要持续优化交通运输行业营商环境</w:t>
      </w:r>
      <w:r>
        <w:rPr>
          <w:color w:val="000000" w:themeColor="text1"/>
          <w:szCs w:val="32"/>
          <w14:textFill>
            <w14:solidFill>
              <w14:schemeClr w14:val="tx1"/>
            </w14:solidFill>
          </w14:textFill>
        </w:rPr>
        <w:t>，加快完善行业</w:t>
      </w:r>
      <w:r>
        <w:rPr>
          <w:rFonts w:hint="eastAsia"/>
          <w:color w:val="000000" w:themeColor="text1"/>
          <w:szCs w:val="32"/>
          <w14:textFill>
            <w14:solidFill>
              <w14:schemeClr w14:val="tx1"/>
            </w14:solidFill>
          </w14:textFill>
        </w:rPr>
        <w:t>治理体系</w:t>
      </w:r>
      <w:r>
        <w:rPr>
          <w:color w:val="000000" w:themeColor="text1"/>
          <w:szCs w:val="32"/>
          <w14:textFill>
            <w14:solidFill>
              <w14:schemeClr w14:val="tx1"/>
            </w14:solidFill>
          </w14:textFill>
        </w:rPr>
        <w:t>。</w:t>
      </w:r>
    </w:p>
    <w:bookmarkEnd w:id="39"/>
    <w:bookmarkEnd w:id="40"/>
    <w:bookmarkEnd w:id="41"/>
    <w:bookmarkEnd w:id="42"/>
    <w:bookmarkEnd w:id="43"/>
    <w:p>
      <w:pPr>
        <w:spacing w:line="600" w:lineRule="exact"/>
        <w:ind w:firstLine="640"/>
        <w:outlineLvl w:val="0"/>
        <w:rPr>
          <w:rFonts w:hint="eastAsia" w:ascii="黑体" w:hAnsi="黑体" w:eastAsia="黑体" w:cs="黑体"/>
        </w:rPr>
      </w:pPr>
      <w:bookmarkStart w:id="44" w:name="_Toc232606921"/>
      <w:r>
        <w:rPr>
          <w:rFonts w:hint="eastAsia" w:ascii="黑体" w:hAnsi="黑体" w:eastAsia="黑体" w:cs="黑体"/>
        </w:rPr>
        <w:br w:type="page"/>
      </w:r>
    </w:p>
    <w:p>
      <w:pPr>
        <w:spacing w:line="600" w:lineRule="exact"/>
        <w:ind w:firstLine="640"/>
        <w:outlineLvl w:val="0"/>
        <w:rPr>
          <w:rFonts w:hint="eastAsia" w:ascii="黑体" w:hAnsi="黑体" w:eastAsia="黑体" w:cs="黑体"/>
          <w:color w:val="000000" w:themeColor="text1"/>
          <w:szCs w:val="32"/>
          <w14:textFill>
            <w14:solidFill>
              <w14:schemeClr w14:val="tx1"/>
            </w14:solidFill>
          </w14:textFill>
        </w:rPr>
      </w:pPr>
      <w:r>
        <w:rPr>
          <w:rFonts w:hint="eastAsia" w:ascii="黑体" w:hAnsi="黑体" w:eastAsia="黑体" w:cs="黑体"/>
        </w:rPr>
        <w:t>二</w:t>
      </w:r>
      <w:r>
        <w:rPr>
          <w:rFonts w:hint="eastAsia" w:ascii="黑体" w:hAnsi="黑体" w:eastAsia="黑体" w:cs="黑体"/>
          <w:color w:val="000000" w:themeColor="text1"/>
          <w:szCs w:val="32"/>
          <w14:textFill>
            <w14:solidFill>
              <w14:schemeClr w14:val="tx1"/>
            </w14:solidFill>
          </w14:textFill>
        </w:rPr>
        <w:t>、总体要求</w:t>
      </w:r>
      <w:bookmarkEnd w:id="44"/>
    </w:p>
    <w:p>
      <w:pPr>
        <w:topLinePunct/>
        <w:spacing w:line="600" w:lineRule="exact"/>
        <w:ind w:firstLine="639" w:firstLineChars="199"/>
        <w:outlineLvl w:val="1"/>
        <w:rPr>
          <w:color w:val="000000" w:themeColor="text1"/>
          <w14:textFill>
            <w14:solidFill>
              <w14:schemeClr w14:val="tx1"/>
            </w14:solidFill>
          </w14:textFill>
        </w:rPr>
      </w:pPr>
      <w:bookmarkStart w:id="45" w:name="_Toc232606922"/>
      <w:r>
        <w:rPr>
          <w:rFonts w:hint="eastAsia" w:ascii="楷体_GB2312" w:hAnsi="楷体_GB2312" w:eastAsia="楷体_GB2312" w:cs="楷体_GB2312"/>
          <w:b/>
          <w:color w:val="000000" w:themeColor="text1"/>
          <w:szCs w:val="32"/>
          <w14:textFill>
            <w14:solidFill>
              <w14:schemeClr w14:val="tx1"/>
            </w14:solidFill>
          </w14:textFill>
        </w:rPr>
        <w:t>（一）指导思想</w:t>
      </w:r>
      <w:bookmarkEnd w:id="45"/>
    </w:p>
    <w:p>
      <w:pPr>
        <w:spacing w:line="600" w:lineRule="exact"/>
        <w:ind w:firstLine="640"/>
        <w:rPr>
          <w:color w:val="000000" w:themeColor="text1"/>
          <w14:textFill>
            <w14:solidFill>
              <w14:schemeClr w14:val="tx1"/>
            </w14:solidFill>
          </w14:textFill>
        </w:rPr>
      </w:pPr>
      <w:bookmarkStart w:id="46" w:name="OLE_LINK103"/>
      <w:r>
        <w:rPr>
          <w:color w:val="000000" w:themeColor="text1"/>
          <w14:textFill>
            <w14:solidFill>
              <w14:schemeClr w14:val="tx1"/>
            </w14:solidFill>
          </w14:textFill>
        </w:rPr>
        <w:t>坚持以习近平新时代中国特色社会主义思想为指导，深入贯彻党的二十大和二十届历次全会精神</w:t>
      </w:r>
      <w:r>
        <w:rPr>
          <w:rFonts w:hint="eastAsia"/>
          <w:color w:val="000000" w:themeColor="text1"/>
          <w14:textFill>
            <w14:solidFill>
              <w14:schemeClr w14:val="tx1"/>
            </w14:solidFill>
          </w14:textFill>
        </w:rPr>
        <w:t>，认真落实四中全会部署</w:t>
      </w:r>
      <w:r>
        <w:rPr>
          <w:color w:val="000000" w:themeColor="text1"/>
          <w14:textFill>
            <w14:solidFill>
              <w14:schemeClr w14:val="tx1"/>
            </w14:solidFill>
          </w14:textFill>
        </w:rPr>
        <w:t>，完整准确全面贯彻新发展理念，加快构建新发展格局，以加快建设交通强</w:t>
      </w:r>
      <w:r>
        <w:rPr>
          <w:rFonts w:hint="eastAsia"/>
          <w:color w:val="000000" w:themeColor="text1"/>
          <w14:textFill>
            <w14:solidFill>
              <w14:schemeClr w14:val="tx1"/>
            </w14:solidFill>
          </w14:textFill>
        </w:rPr>
        <w:t>市</w:t>
      </w:r>
      <w:r>
        <w:rPr>
          <w:color w:val="000000" w:themeColor="text1"/>
          <w14:textFill>
            <w14:solidFill>
              <w14:schemeClr w14:val="tx1"/>
            </w14:solidFill>
          </w14:textFill>
        </w:rPr>
        <w:t>为总目标，坚持适度超前、不过度超前，以推动交通运输高质量发展为主题，以改革</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创新为根本动力，</w:t>
      </w:r>
      <w:r>
        <w:rPr>
          <w:rFonts w:hint="eastAsia"/>
          <w:color w:val="000000" w:themeColor="text1"/>
          <w14:textFill>
            <w14:solidFill>
              <w14:schemeClr w14:val="tx1"/>
            </w14:solidFill>
          </w14:textFill>
        </w:rPr>
        <w:t>切实履行维护国家“五大安全”政治使命，加快建设高质量综合立体交通网，着力推动一体化融合、安全化提升、数智化升级、绿色化转型，</w:t>
      </w:r>
      <w:r>
        <w:rPr>
          <w:rFonts w:hint="eastAsia" w:cs="Times New Roman"/>
          <w:bCs/>
          <w:szCs w:val="32"/>
        </w:rPr>
        <w:t>推动综合交通运输建设方式、发展动能、增长模式实现“三个转向”，在</w:t>
      </w:r>
      <w:r>
        <w:rPr>
          <w:color w:val="000000" w:themeColor="text1"/>
          <w14:textFill>
            <w14:solidFill>
              <w14:schemeClr w14:val="tx1"/>
            </w14:solidFill>
          </w14:textFill>
        </w:rPr>
        <w:t>提升</w:t>
      </w:r>
      <w:r>
        <w:rPr>
          <w:rFonts w:hint="eastAsia"/>
          <w:color w:val="000000" w:themeColor="text1"/>
          <w14:textFill>
            <w14:solidFill>
              <w14:schemeClr w14:val="tx1"/>
            </w14:solidFill>
          </w14:textFill>
        </w:rPr>
        <w:t>国家</w:t>
      </w:r>
      <w:r>
        <w:rPr>
          <w:color w:val="000000" w:themeColor="text1"/>
          <w14:textFill>
            <w14:solidFill>
              <w14:schemeClr w14:val="tx1"/>
            </w14:solidFill>
          </w14:textFill>
        </w:rPr>
        <w:t>综合交通枢纽</w:t>
      </w:r>
      <w:r>
        <w:rPr>
          <w:rFonts w:hint="eastAsia"/>
          <w:color w:val="000000" w:themeColor="text1"/>
          <w14:textFill>
            <w14:solidFill>
              <w14:schemeClr w14:val="tx1"/>
            </w14:solidFill>
          </w14:textFill>
        </w:rPr>
        <w:t>城市</w:t>
      </w:r>
      <w:r>
        <w:rPr>
          <w:color w:val="000000" w:themeColor="text1"/>
          <w14:textFill>
            <w14:solidFill>
              <w14:schemeClr w14:val="tx1"/>
            </w14:solidFill>
          </w14:textFill>
        </w:rPr>
        <w:t>能级、</w:t>
      </w:r>
      <w:r>
        <w:rPr>
          <w:rFonts w:hint="eastAsia"/>
          <w:color w:val="000000" w:themeColor="text1"/>
          <w14:textFill>
            <w14:solidFill>
              <w14:schemeClr w14:val="tx1"/>
            </w14:solidFill>
          </w14:textFill>
        </w:rPr>
        <w:t>强化</w:t>
      </w:r>
      <w:r>
        <w:rPr>
          <w:color w:val="000000" w:themeColor="text1"/>
          <w14:textFill>
            <w14:solidFill>
              <w14:schemeClr w14:val="tx1"/>
            </w14:solidFill>
          </w14:textFill>
        </w:rPr>
        <w:t>交通物流供应链效率和韧性、</w:t>
      </w:r>
      <w:r>
        <w:rPr>
          <w:rFonts w:hint="eastAsia" w:cs="仿宋_GB2312"/>
          <w:color w:val="000000" w:themeColor="text1"/>
          <w:szCs w:val="32"/>
          <w14:textFill>
            <w14:solidFill>
              <w14:schemeClr w14:val="tx1"/>
            </w14:solidFill>
          </w14:textFill>
          <w14:ligatures w14:val="none"/>
        </w:rPr>
        <w:t>培育交通运输新质生产力等方面勇于争先</w:t>
      </w:r>
      <w:r>
        <w:rPr>
          <w:color w:val="000000" w:themeColor="text1"/>
          <w14:textFill>
            <w14:solidFill>
              <w14:schemeClr w14:val="tx1"/>
            </w14:solidFill>
          </w14:textFill>
        </w:rPr>
        <w:t>，有力支撑</w:t>
      </w:r>
      <w:r>
        <w:rPr>
          <w:rFonts w:hint="eastAsia"/>
          <w:color w:val="000000" w:themeColor="text1"/>
          <w14:textFill>
            <w14:solidFill>
              <w14:schemeClr w14:val="tx1"/>
            </w14:solidFill>
          </w14:textFill>
        </w:rPr>
        <w:t>营口</w:t>
      </w:r>
      <w:r>
        <w:rPr>
          <w:color w:val="000000" w:themeColor="text1"/>
          <w14:textFill>
            <w14:solidFill>
              <w14:schemeClr w14:val="tx1"/>
            </w14:solidFill>
          </w14:textFill>
        </w:rPr>
        <w:t>在新时代东北</w:t>
      </w:r>
      <w:r>
        <w:rPr>
          <w:rFonts w:hint="eastAsia"/>
          <w:color w:val="000000" w:themeColor="text1"/>
          <w14:textFill>
            <w14:solidFill>
              <w14:schemeClr w14:val="tx1"/>
            </w14:solidFill>
          </w14:textFill>
        </w:rPr>
        <w:t>、辽宁</w:t>
      </w:r>
      <w:r>
        <w:rPr>
          <w:color w:val="000000" w:themeColor="text1"/>
          <w14:textFill>
            <w14:solidFill>
              <w14:schemeClr w14:val="tx1"/>
            </w14:solidFill>
          </w14:textFill>
        </w:rPr>
        <w:t>全面振兴</w:t>
      </w:r>
      <w:r>
        <w:rPr>
          <w:rFonts w:hint="eastAsia"/>
          <w:color w:val="000000" w:themeColor="text1"/>
          <w14:textFill>
            <w14:solidFill>
              <w14:schemeClr w14:val="tx1"/>
            </w14:solidFill>
          </w14:textFill>
        </w:rPr>
        <w:t>实现新</w:t>
      </w:r>
      <w:r>
        <w:rPr>
          <w:color w:val="000000" w:themeColor="text1"/>
          <w14:textFill>
            <w14:solidFill>
              <w14:schemeClr w14:val="tx1"/>
            </w14:solidFill>
          </w14:textFill>
        </w:rPr>
        <w:t>突破，</w:t>
      </w:r>
      <w:r>
        <w:rPr>
          <w:rFonts w:hint="eastAsia"/>
          <w:color w:val="000000" w:themeColor="text1"/>
          <w14:textFill>
            <w14:solidFill>
              <w14:schemeClr w14:val="tx1"/>
            </w14:solidFill>
          </w14:textFill>
        </w:rPr>
        <w:t>为谱写中国式现代化营口新篇章当好开路先锋。</w:t>
      </w:r>
      <w:bookmarkStart w:id="47" w:name="_Hlk205648851"/>
    </w:p>
    <w:bookmarkEnd w:id="46"/>
    <w:bookmarkEnd w:id="47"/>
    <w:p>
      <w:pPr>
        <w:topLinePunct/>
        <w:spacing w:line="600" w:lineRule="exact"/>
        <w:ind w:firstLine="639" w:firstLineChars="199"/>
        <w:outlineLvl w:val="1"/>
        <w:rPr>
          <w:color w:val="000000" w:themeColor="text1"/>
          <w14:textFill>
            <w14:solidFill>
              <w14:schemeClr w14:val="tx1"/>
            </w14:solidFill>
          </w14:textFill>
        </w:rPr>
      </w:pPr>
      <w:bookmarkStart w:id="48" w:name="_Toc232606923"/>
      <w:r>
        <w:rPr>
          <w:rFonts w:hint="eastAsia" w:ascii="楷体_GB2312" w:hAnsi="楷体_GB2312" w:eastAsia="楷体_GB2312" w:cs="楷体_GB2312"/>
          <w:b/>
          <w:color w:val="000000" w:themeColor="text1"/>
          <w:szCs w:val="32"/>
          <w14:textFill>
            <w14:solidFill>
              <w14:schemeClr w14:val="tx1"/>
            </w14:solidFill>
          </w14:textFill>
        </w:rPr>
        <w:t>（二）基本原则</w:t>
      </w:r>
      <w:bookmarkEnd w:id="48"/>
    </w:p>
    <w:p>
      <w:pPr>
        <w:spacing w:line="600" w:lineRule="exact"/>
        <w:ind w:firstLine="643"/>
        <w:rPr>
          <w:rFonts w:cs="仿宋_GB2312"/>
          <w:color w:val="000000" w:themeColor="text1"/>
          <w:szCs w:val="32"/>
          <w14:textFill>
            <w14:solidFill>
              <w14:schemeClr w14:val="tx1"/>
            </w14:solidFill>
          </w14:textFill>
        </w:rPr>
      </w:pPr>
      <w:r>
        <w:rPr>
          <w:b/>
          <w:bCs/>
          <w:color w:val="000000" w:themeColor="text1"/>
          <w14:textFill>
            <w14:solidFill>
              <w14:schemeClr w14:val="tx1"/>
            </w14:solidFill>
          </w14:textFill>
        </w:rPr>
        <w:t>战略引领</w:t>
      </w:r>
      <w:r>
        <w:rPr>
          <w:rFonts w:hint="eastAsia"/>
          <w:b/>
          <w:bCs/>
          <w:color w:val="000000" w:themeColor="text1"/>
          <w14:textFill>
            <w14:solidFill>
              <w14:schemeClr w14:val="tx1"/>
            </w14:solidFill>
          </w14:textFill>
        </w:rPr>
        <w:t>，</w:t>
      </w:r>
      <w:r>
        <w:rPr>
          <w:b/>
          <w:bCs/>
          <w:color w:val="000000" w:themeColor="text1"/>
          <w14:textFill>
            <w14:solidFill>
              <w14:schemeClr w14:val="tx1"/>
            </w14:solidFill>
          </w14:textFill>
        </w:rPr>
        <w:t>服务大局。</w:t>
      </w:r>
      <w:r>
        <w:rPr>
          <w:rFonts w:hint="eastAsia" w:cs="仿宋_GB2312"/>
          <w:color w:val="000000" w:themeColor="text1"/>
          <w:szCs w:val="32"/>
          <w14:textFill>
            <w14:solidFill>
              <w14:schemeClr w14:val="tx1"/>
            </w14:solidFill>
          </w14:textFill>
        </w:rPr>
        <w:t>坚决扛牢维护国家“五大安全”重要使命，锚定实现新时代辽宁全面振兴目标任务，坚持以人民为中心，提高交通运输保障和改善民生的能力。</w:t>
      </w:r>
    </w:p>
    <w:p>
      <w:pPr>
        <w:topLinePunct/>
        <w:spacing w:line="600" w:lineRule="exact"/>
        <w:ind w:firstLine="639" w:firstLineChars="199"/>
        <w:rPr>
          <w:rFonts w:cs="仿宋_GB2312"/>
          <w:color w:val="000000" w:themeColor="text1"/>
          <w:szCs w:val="32"/>
          <w14:textFill>
            <w14:solidFill>
              <w14:schemeClr w14:val="tx1"/>
            </w14:solidFill>
          </w14:textFill>
        </w:rPr>
      </w:pPr>
      <w:r>
        <w:rPr>
          <w:rFonts w:hint="eastAsia" w:ascii="楷体_GB2312" w:eastAsia="楷体_GB2312" w:cs="仿宋_GB2312"/>
          <w:b/>
          <w:bCs/>
          <w:color w:val="000000" w:themeColor="text1"/>
          <w:szCs w:val="32"/>
          <w14:textFill>
            <w14:solidFill>
              <w14:schemeClr w14:val="tx1"/>
            </w14:solidFill>
          </w14:textFill>
        </w:rPr>
        <w:t>做优增量，盘活存量</w:t>
      </w:r>
      <w:r>
        <w:rPr>
          <w:rFonts w:ascii="楷体_GB2312" w:eastAsia="楷体_GB2312" w:cs="仿宋_GB2312"/>
          <w:b/>
          <w:bCs/>
          <w:color w:val="000000" w:themeColor="text1"/>
          <w:szCs w:val="32"/>
          <w14:textFill>
            <w14:solidFill>
              <w14:schemeClr w14:val="tx1"/>
            </w14:solidFill>
          </w14:textFill>
        </w:rPr>
        <w:t>。</w:t>
      </w:r>
      <w:r>
        <w:rPr>
          <w:rFonts w:hint="eastAsia" w:cs="仿宋_GB2312"/>
          <w:color w:val="000000" w:themeColor="text1"/>
          <w:szCs w:val="32"/>
          <w14:textFill>
            <w14:solidFill>
              <w14:schemeClr w14:val="tx1"/>
            </w14:solidFill>
          </w14:textFill>
        </w:rPr>
        <w:t>推进设施补短板、提品质、拓功能和养护维护并行发力，优化结构、提升质量，</w:t>
      </w:r>
      <w:r>
        <w:rPr>
          <w:rFonts w:cs="仿宋_GB2312"/>
          <w:color w:val="000000" w:themeColor="text1"/>
          <w:szCs w:val="32"/>
          <w14:textFill>
            <w14:solidFill>
              <w14:schemeClr w14:val="tx1"/>
            </w14:solidFill>
          </w14:textFill>
        </w:rPr>
        <w:t>全面提升交通运输网络效益和整体效能。</w:t>
      </w:r>
    </w:p>
    <w:p>
      <w:pPr>
        <w:topLinePunct/>
        <w:spacing w:line="600" w:lineRule="exact"/>
        <w:ind w:firstLine="639" w:firstLineChars="199"/>
        <w:rPr>
          <w:rFonts w:cs="仿宋_GB2312"/>
          <w:color w:val="000000" w:themeColor="text1"/>
          <w:szCs w:val="32"/>
          <w14:textFill>
            <w14:solidFill>
              <w14:schemeClr w14:val="tx1"/>
            </w14:solidFill>
          </w14:textFill>
        </w:rPr>
      </w:pPr>
      <w:r>
        <w:rPr>
          <w:rFonts w:hint="eastAsia" w:ascii="楷体_GB2312" w:eastAsia="楷体_GB2312" w:cs="仿宋_GB2312"/>
          <w:b/>
          <w:bCs/>
          <w:color w:val="000000" w:themeColor="text1"/>
          <w:szCs w:val="32"/>
          <w14:textFill>
            <w14:solidFill>
              <w14:schemeClr w14:val="tx1"/>
            </w14:solidFill>
          </w14:textFill>
        </w:rPr>
        <w:t>创新引领，一体融合</w:t>
      </w:r>
      <w:r>
        <w:rPr>
          <w:rFonts w:ascii="楷体_GB2312" w:eastAsia="楷体_GB2312" w:cs="仿宋_GB2312"/>
          <w:b/>
          <w:bCs/>
          <w:color w:val="000000" w:themeColor="text1"/>
          <w:szCs w:val="32"/>
          <w14:textFill>
            <w14:solidFill>
              <w14:schemeClr w14:val="tx1"/>
            </w14:solidFill>
          </w14:textFill>
        </w:rPr>
        <w:t>。</w:t>
      </w:r>
      <w:r>
        <w:rPr>
          <w:rFonts w:hint="eastAsia" w:cs="仿宋_GB2312"/>
          <w:color w:val="000000" w:themeColor="text1"/>
          <w:szCs w:val="32"/>
          <w14:textFill>
            <w14:solidFill>
              <w14:schemeClr w14:val="tx1"/>
            </w14:solidFill>
          </w14:textFill>
        </w:rPr>
        <w:t>坚持创新核心地位，强化智慧赋能，加快培育交通运输领域新质生产力，加强交通运输跨方式、跨区域、跨领域集成融合。</w:t>
      </w:r>
    </w:p>
    <w:p>
      <w:pPr>
        <w:spacing w:line="600" w:lineRule="exact"/>
        <w:ind w:firstLine="643"/>
        <w:rPr>
          <w:rFonts w:cs="仿宋_GB2312"/>
          <w:color w:val="000000" w:themeColor="text1"/>
          <w:szCs w:val="32"/>
          <w14:textFill>
            <w14:solidFill>
              <w14:schemeClr w14:val="tx1"/>
            </w14:solidFill>
          </w14:textFill>
        </w:rPr>
      </w:pPr>
      <w:r>
        <w:rPr>
          <w:rFonts w:hint="eastAsia" w:ascii="楷体_GB2312" w:eastAsia="楷体_GB2312" w:cs="仿宋_GB2312"/>
          <w:b/>
          <w:bCs/>
          <w:color w:val="000000" w:themeColor="text1"/>
          <w:szCs w:val="32"/>
          <w14:textFill>
            <w14:solidFill>
              <w14:schemeClr w14:val="tx1"/>
            </w14:solidFill>
          </w14:textFill>
        </w:rPr>
        <w:t>深化改革，开放合作</w:t>
      </w:r>
      <w:r>
        <w:rPr>
          <w:rFonts w:ascii="楷体_GB2312" w:eastAsia="楷体_GB2312" w:cs="仿宋_GB2312"/>
          <w:b/>
          <w:bCs/>
          <w:color w:val="000000" w:themeColor="text1"/>
          <w:szCs w:val="32"/>
          <w14:textFill>
            <w14:solidFill>
              <w14:schemeClr w14:val="tx1"/>
            </w14:solidFill>
          </w14:textFill>
        </w:rPr>
        <w:t>。</w:t>
      </w:r>
      <w:r>
        <w:rPr>
          <w:rFonts w:hint="eastAsia" w:cs="仿宋_GB2312"/>
          <w:color w:val="000000" w:themeColor="text1"/>
          <w:szCs w:val="32"/>
          <w14:textFill>
            <w14:solidFill>
              <w14:schemeClr w14:val="tx1"/>
            </w14:solidFill>
          </w14:textFill>
        </w:rPr>
        <w:t>全面深化重点领域和关键环节改革，</w:t>
      </w:r>
      <w:r>
        <w:rPr>
          <w:rFonts w:cs="仿宋_GB2312"/>
          <w:color w:val="000000" w:themeColor="text1"/>
          <w:szCs w:val="32"/>
          <w14:textFill>
            <w14:solidFill>
              <w14:schemeClr w14:val="tx1"/>
            </w14:solidFill>
          </w14:textFill>
        </w:rPr>
        <w:t>持续提升东北海陆双向开放联动能级</w:t>
      </w:r>
      <w:r>
        <w:rPr>
          <w:rFonts w:hint="eastAsia" w:cs="仿宋_GB2312"/>
          <w:color w:val="000000" w:themeColor="text1"/>
          <w:szCs w:val="32"/>
          <w14:textFill>
            <w14:solidFill>
              <w14:schemeClr w14:val="tx1"/>
            </w14:solidFill>
          </w14:textFill>
        </w:rPr>
        <w:t>，</w:t>
      </w:r>
      <w:r>
        <w:rPr>
          <w:rFonts w:cs="仿宋_GB2312"/>
          <w:color w:val="000000" w:themeColor="text1"/>
          <w:szCs w:val="32"/>
          <w14:textFill>
            <w14:solidFill>
              <w14:schemeClr w14:val="tx1"/>
            </w14:solidFill>
          </w14:textFill>
        </w:rPr>
        <w:t>高水平参与东北海陆大通道建设</w:t>
      </w:r>
      <w:r>
        <w:rPr>
          <w:rFonts w:hint="eastAsia" w:cs="仿宋_GB2312"/>
          <w:color w:val="000000" w:themeColor="text1"/>
          <w:szCs w:val="32"/>
          <w14:textFill>
            <w14:solidFill>
              <w14:schemeClr w14:val="tx1"/>
            </w14:solidFill>
          </w14:textFill>
        </w:rPr>
        <w:t>，有力支撑全省建设东北亚开放合作枢纽地。</w:t>
      </w:r>
    </w:p>
    <w:p>
      <w:pPr>
        <w:topLinePunct/>
        <w:spacing w:line="600" w:lineRule="exact"/>
        <w:ind w:firstLine="639" w:firstLineChars="199"/>
        <w:outlineLvl w:val="1"/>
        <w:rPr>
          <w:color w:val="000000" w:themeColor="text1"/>
          <w14:textFill>
            <w14:solidFill>
              <w14:schemeClr w14:val="tx1"/>
            </w14:solidFill>
          </w14:textFill>
        </w:rPr>
      </w:pPr>
      <w:bookmarkStart w:id="49" w:name="_Toc232606924"/>
      <w:bookmarkStart w:id="50" w:name="OLE_LINK3"/>
      <w:r>
        <w:rPr>
          <w:rFonts w:hint="eastAsia" w:ascii="楷体_GB2312" w:hAnsi="楷体_GB2312" w:eastAsia="楷体_GB2312" w:cs="楷体_GB2312"/>
          <w:b/>
          <w:color w:val="000000" w:themeColor="text1"/>
          <w:szCs w:val="32"/>
          <w14:textFill>
            <w14:solidFill>
              <w14:schemeClr w14:val="tx1"/>
            </w14:solidFill>
          </w14:textFill>
        </w:rPr>
        <w:t>（三）发展目标</w:t>
      </w:r>
      <w:bookmarkEnd w:id="49"/>
    </w:p>
    <w:p>
      <w:pPr>
        <w:spacing w:line="600" w:lineRule="exact"/>
        <w:ind w:firstLine="640"/>
        <w:rPr>
          <w:color w:val="000000" w:themeColor="text1"/>
          <w14:textFill>
            <w14:solidFill>
              <w14:schemeClr w14:val="tx1"/>
            </w14:solidFill>
          </w14:textFill>
        </w:rPr>
      </w:pPr>
      <w:r>
        <w:rPr>
          <w:rFonts w:hint="eastAsia"/>
          <w:color w:val="000000" w:themeColor="text1"/>
          <w14:textFill>
            <w14:solidFill>
              <w14:schemeClr w14:val="tx1"/>
            </w14:solidFill>
          </w14:textFill>
        </w:rPr>
        <w:t>到</w:t>
      </w:r>
      <w:r>
        <w:rPr>
          <w:color w:val="000000" w:themeColor="text1"/>
          <w14:textFill>
            <w14:solidFill>
              <w14:schemeClr w14:val="tx1"/>
            </w14:solidFill>
          </w14:textFill>
        </w:rPr>
        <w:t>2030</w:t>
      </w:r>
      <w:r>
        <w:rPr>
          <w:rFonts w:hint="eastAsia"/>
          <w:color w:val="000000" w:themeColor="text1"/>
          <w14:textFill>
            <w14:solidFill>
              <w14:schemeClr w14:val="tx1"/>
            </w14:solidFill>
          </w14:textFill>
        </w:rPr>
        <w:t>年，围绕建设</w:t>
      </w:r>
      <w:bookmarkStart w:id="51" w:name="OLE_LINK144"/>
      <w:r>
        <w:rPr>
          <w:rFonts w:hint="eastAsia"/>
          <w:color w:val="000000" w:themeColor="text1"/>
          <w14:textFill>
            <w14:solidFill>
              <w14:schemeClr w14:val="tx1"/>
            </w14:solidFill>
          </w14:textFill>
        </w:rPr>
        <w:t>国家综合交通枢纽城市、港口型国家物流枢纽城市</w:t>
      </w:r>
      <w:bookmarkEnd w:id="51"/>
      <w:r>
        <w:rPr>
          <w:rFonts w:hint="eastAsia"/>
          <w:color w:val="000000" w:themeColor="text1"/>
          <w14:textFill>
            <w14:solidFill>
              <w14:schemeClr w14:val="tx1"/>
            </w14:solidFill>
          </w14:textFill>
        </w:rPr>
        <w:t>，以打造</w:t>
      </w:r>
      <w:bookmarkStart w:id="52" w:name="OLE_LINK102"/>
      <w:r>
        <w:rPr>
          <w:rFonts w:hint="eastAsia"/>
          <w:color w:val="000000" w:themeColor="text1"/>
          <w14:textFill>
            <w14:solidFill>
              <w14:schemeClr w14:val="tx1"/>
            </w14:solidFill>
          </w14:textFill>
        </w:rPr>
        <w:t>全国一流枢纽强港</w:t>
      </w:r>
      <w:bookmarkEnd w:id="52"/>
      <w:r>
        <w:rPr>
          <w:rFonts w:hint="eastAsia"/>
          <w:color w:val="000000" w:themeColor="text1"/>
          <w14:textFill>
            <w14:solidFill>
              <w14:schemeClr w14:val="tx1"/>
            </w14:solidFill>
          </w14:textFill>
        </w:rPr>
        <w:t>为着力点</w:t>
      </w:r>
      <w:bookmarkStart w:id="53" w:name="_Hlk205648902"/>
      <w:r>
        <w:rPr>
          <w:rFonts w:hint="eastAsia"/>
          <w:color w:val="000000" w:themeColor="text1"/>
          <w14:textFill>
            <w14:solidFill>
              <w14:schemeClr w14:val="tx1"/>
            </w14:solidFill>
          </w14:textFill>
        </w:rPr>
        <w:t>，实现枢纽能级、通道能力、网络覆盖、运输服务质效、绿色智慧发展水平、安全应急保障能力六个优化提升，基本建成</w:t>
      </w:r>
      <w:r>
        <w:rPr>
          <w:rFonts w:hint="eastAsia" w:cs="仿宋_GB2312"/>
          <w:color w:val="000000" w:themeColor="text1"/>
          <w:szCs w:val="32"/>
          <w14:textFill>
            <w14:solidFill>
              <w14:schemeClr w14:val="tx1"/>
            </w14:solidFill>
          </w14:textFill>
        </w:rPr>
        <w:t>便捷顺畅、经济高效、绿色集约、智能先进、安全</w:t>
      </w:r>
      <w:r>
        <w:rPr>
          <w:rFonts w:hint="eastAsia"/>
          <w:color w:val="000000" w:themeColor="text1"/>
          <w14:textFill>
            <w14:solidFill>
              <w14:schemeClr w14:val="tx1"/>
            </w14:solidFill>
          </w14:textFill>
        </w:rPr>
        <w:t>韧性的现代化综合交通运输体系</w:t>
      </w:r>
      <w:bookmarkEnd w:id="53"/>
      <w:r>
        <w:rPr>
          <w:rFonts w:hint="eastAsia"/>
          <w:color w:val="000000" w:themeColor="text1"/>
          <w14:textFill>
            <w14:solidFill>
              <w14:schemeClr w14:val="tx1"/>
            </w14:solidFill>
          </w14:textFill>
        </w:rPr>
        <w:t>。</w:t>
      </w:r>
    </w:p>
    <w:p>
      <w:pPr>
        <w:spacing w:line="600" w:lineRule="exact"/>
        <w:ind w:firstLine="643"/>
        <w:rPr>
          <w:color w:val="000000" w:themeColor="text1"/>
          <w14:textFill>
            <w14:solidFill>
              <w14:schemeClr w14:val="tx1"/>
            </w14:solidFill>
          </w14:textFill>
        </w:rPr>
      </w:pPr>
      <w:r>
        <w:rPr>
          <w:rFonts w:hint="eastAsia" w:ascii="楷体_GB2312" w:hAnsi="仿宋_GB2312" w:eastAsia="楷体_GB2312" w:cs="仿宋_GB2312"/>
          <w:b/>
          <w:bCs/>
          <w:color w:val="000000" w:themeColor="text1"/>
          <w:szCs w:val="32"/>
          <w14:textFill>
            <w14:solidFill>
              <w14:schemeClr w14:val="tx1"/>
            </w14:solidFill>
          </w14:textFill>
        </w:rPr>
        <w:t>枢纽能级全面提升。</w:t>
      </w:r>
      <w:r>
        <w:rPr>
          <w:rFonts w:hint="eastAsia" w:cs="Times New Roman"/>
          <w:color w:val="000000" w:themeColor="text1"/>
          <w:szCs w:val="32"/>
          <w14:textFill>
            <w14:solidFill>
              <w14:schemeClr w14:val="tx1"/>
            </w14:solidFill>
          </w14:textFill>
        </w:rPr>
        <w:t>国家综合交通枢纽城市组织中转和跨区域集散能力显著增强，营口港、营口东站、兰旗机场等综合客货运枢纽功能进一步优化，</w:t>
      </w:r>
      <w:r>
        <w:rPr>
          <w:rFonts w:cs="Times New Roman"/>
          <w:color w:val="000000" w:themeColor="text1"/>
          <w:szCs w:val="32"/>
          <w14:textFill>
            <w14:solidFill>
              <w14:schemeClr w14:val="tx1"/>
            </w14:solidFill>
          </w14:textFill>
        </w:rPr>
        <w:t>作为东北海陆大通道重要支点和</w:t>
      </w:r>
      <w:r>
        <w:rPr>
          <w:rFonts w:hint="eastAsia" w:cs="Times New Roman"/>
          <w:color w:val="000000" w:themeColor="text1"/>
          <w:szCs w:val="32"/>
          <w14:textFill>
            <w14:solidFill>
              <w14:schemeClr w14:val="tx1"/>
            </w14:solidFill>
          </w14:textFill>
        </w:rPr>
        <w:t>“北粮南运”</w:t>
      </w:r>
      <w:r>
        <w:rPr>
          <w:rFonts w:cs="Times New Roman"/>
          <w:color w:val="000000" w:themeColor="text1"/>
          <w:szCs w:val="32"/>
          <w14:textFill>
            <w14:solidFill>
              <w14:schemeClr w14:val="tx1"/>
            </w14:solidFill>
          </w14:textFill>
        </w:rPr>
        <w:t>核心枢纽服务能级</w:t>
      </w:r>
      <w:r>
        <w:rPr>
          <w:rFonts w:hint="eastAsia" w:cs="Times New Roman"/>
          <w:color w:val="000000" w:themeColor="text1"/>
          <w:szCs w:val="32"/>
          <w14:textFill>
            <w14:solidFill>
              <w14:schemeClr w14:val="tx1"/>
            </w14:solidFill>
          </w14:textFill>
        </w:rPr>
        <w:t>全面提升。</w:t>
      </w:r>
    </w:p>
    <w:p>
      <w:pPr>
        <w:spacing w:line="600" w:lineRule="exact"/>
        <w:ind w:firstLine="643"/>
        <w:rPr>
          <w:rFonts w:cs="Times New Roman"/>
          <w:color w:val="000000" w:themeColor="text1"/>
          <w:szCs w:val="32"/>
          <w14:textFill>
            <w14:solidFill>
              <w14:schemeClr w14:val="tx1"/>
            </w14:solidFill>
          </w14:textFill>
        </w:rPr>
      </w:pPr>
      <w:r>
        <w:rPr>
          <w:rFonts w:hint="eastAsia" w:ascii="楷体_GB2312" w:hAnsi="仿宋_GB2312" w:eastAsia="楷体_GB2312" w:cs="仿宋_GB2312"/>
          <w:b/>
          <w:bCs/>
          <w:color w:val="000000" w:themeColor="text1"/>
          <w:szCs w:val="32"/>
          <w14:textFill>
            <w14:solidFill>
              <w14:schemeClr w14:val="tx1"/>
            </w14:solidFill>
          </w14:textFill>
        </w:rPr>
        <w:t>陆海通道全面提质。</w:t>
      </w:r>
      <w:r>
        <w:rPr>
          <w:rFonts w:hint="eastAsia" w:cs="Times New Roman"/>
          <w:color w:val="000000" w:themeColor="text1"/>
          <w:szCs w:val="32"/>
          <w14:textFill>
            <w14:solidFill>
              <w14:schemeClr w14:val="tx1"/>
            </w14:solidFill>
          </w14:textFill>
        </w:rPr>
        <w:t>海陆空“四向”开放通道格局基本形成</w:t>
      </w:r>
      <w:r>
        <w:rPr>
          <w:rFonts w:hint="eastAsia" w:cs="仿宋_GB2312"/>
          <w:color w:val="000000" w:themeColor="text1"/>
          <w:szCs w:val="32"/>
          <w14:textFill>
            <w14:solidFill>
              <w14:schemeClr w14:val="tx1"/>
            </w14:solidFill>
          </w14:textFill>
        </w:rPr>
        <w:t>，陆海联运通道运行效能持续增强，“两纵三横”主骨架承载能力显著提升，</w:t>
      </w:r>
      <w:r>
        <w:rPr>
          <w:rFonts w:cs="仿宋_GB2312"/>
          <w:color w:val="000000" w:themeColor="text1"/>
          <w:szCs w:val="32"/>
          <w14:textFill>
            <w14:solidFill>
              <w14:schemeClr w14:val="tx1"/>
            </w14:solidFill>
          </w14:textFill>
        </w:rPr>
        <w:t>服务</w:t>
      </w:r>
      <w:r>
        <w:rPr>
          <w:rFonts w:hint="eastAsia" w:cs="仿宋_GB2312"/>
          <w:color w:val="000000" w:themeColor="text1"/>
          <w:szCs w:val="32"/>
          <w14:textFill>
            <w14:solidFill>
              <w14:schemeClr w14:val="tx1"/>
            </w14:solidFill>
          </w14:textFill>
        </w:rPr>
        <w:t>东北</w:t>
      </w:r>
      <w:r>
        <w:rPr>
          <w:rFonts w:cs="仿宋_GB2312"/>
          <w:color w:val="000000" w:themeColor="text1"/>
          <w:szCs w:val="32"/>
          <w14:textFill>
            <w14:solidFill>
              <w14:schemeClr w14:val="tx1"/>
            </w14:solidFill>
          </w14:textFill>
        </w:rPr>
        <w:t>、</w:t>
      </w:r>
      <w:r>
        <w:rPr>
          <w:rFonts w:hint="eastAsia" w:cs="仿宋_GB2312"/>
          <w:color w:val="000000" w:themeColor="text1"/>
          <w:szCs w:val="32"/>
          <w14:textFill>
            <w14:solidFill>
              <w14:schemeClr w14:val="tx1"/>
            </w14:solidFill>
          </w14:textFill>
        </w:rPr>
        <w:t>辐射全国、融入共建“一带一路”</w:t>
      </w:r>
      <w:r>
        <w:rPr>
          <w:rFonts w:cs="仿宋_GB2312"/>
          <w:color w:val="000000" w:themeColor="text1"/>
          <w:szCs w:val="32"/>
          <w14:textFill>
            <w14:solidFill>
              <w14:schemeClr w14:val="tx1"/>
            </w14:solidFill>
          </w14:textFill>
        </w:rPr>
        <w:t>开放格局</w:t>
      </w:r>
      <w:r>
        <w:rPr>
          <w:rFonts w:hint="eastAsia" w:cs="仿宋_GB2312"/>
          <w:color w:val="000000" w:themeColor="text1"/>
          <w:szCs w:val="32"/>
          <w14:textFill>
            <w14:solidFill>
              <w14:schemeClr w14:val="tx1"/>
            </w14:solidFill>
          </w14:textFill>
        </w:rPr>
        <w:t>全面构建。</w:t>
      </w:r>
    </w:p>
    <w:p>
      <w:pPr>
        <w:spacing w:line="600" w:lineRule="exact"/>
        <w:ind w:firstLine="643"/>
        <w:rPr>
          <w:rFonts w:cs="Times New Roman"/>
          <w:color w:val="000000" w:themeColor="text1"/>
          <w:szCs w:val="32"/>
          <w14:textFill>
            <w14:solidFill>
              <w14:schemeClr w14:val="tx1"/>
            </w14:solidFill>
          </w14:textFill>
        </w:rPr>
      </w:pPr>
      <w:r>
        <w:rPr>
          <w:rFonts w:hint="eastAsia" w:ascii="楷体_GB2312" w:hAnsi="仿宋_GB2312" w:eastAsia="楷体_GB2312" w:cs="仿宋_GB2312"/>
          <w:b/>
          <w:bCs/>
          <w:color w:val="000000" w:themeColor="text1"/>
          <w:szCs w:val="32"/>
          <w14:textFill>
            <w14:solidFill>
              <w14:schemeClr w14:val="tx1"/>
            </w14:solidFill>
          </w14:textFill>
        </w:rPr>
        <w:t>网络覆盖全面优化。</w:t>
      </w:r>
      <w:r>
        <w:rPr>
          <w:rFonts w:hint="eastAsia" w:cs="Times New Roman"/>
          <w:color w:val="000000" w:themeColor="text1"/>
          <w:szCs w:val="32"/>
          <w14:textFill>
            <w14:solidFill>
              <w14:schemeClr w14:val="tx1"/>
            </w14:solidFill>
          </w14:textFill>
        </w:rPr>
        <w:t>快速网、干线网、基础网功能互补、衔接高效，干线网路网布局和结构功能更加完善，繁忙路段拥堵状况明显改善，老旧设施、低标准路段全面提质升级，基础网覆盖广度、通达深度进一步提高。</w:t>
      </w:r>
    </w:p>
    <w:p>
      <w:pPr>
        <w:topLinePunct/>
        <w:spacing w:line="600" w:lineRule="exact"/>
        <w:ind w:firstLine="639" w:firstLineChars="199"/>
        <w:rPr>
          <w:color w:val="000000" w:themeColor="text1"/>
          <w:szCs w:val="32"/>
          <w14:textFill>
            <w14:solidFill>
              <w14:schemeClr w14:val="tx1"/>
            </w14:solidFill>
          </w14:textFill>
        </w:rPr>
      </w:pPr>
      <w:r>
        <w:rPr>
          <w:rFonts w:hint="eastAsia" w:ascii="楷体_GB2312" w:hAnsi="仿宋_GB2312" w:eastAsia="楷体_GB2312" w:cs="仿宋_GB2312"/>
          <w:b/>
          <w:bCs/>
          <w:color w:val="000000" w:themeColor="text1"/>
          <w:szCs w:val="32"/>
          <w14:textFill>
            <w14:solidFill>
              <w14:schemeClr w14:val="tx1"/>
            </w14:solidFill>
          </w14:textFill>
        </w:rPr>
        <w:t>运输服务质效收获新成效。</w:t>
      </w:r>
      <w:r>
        <w:rPr>
          <w:rFonts w:hint="eastAsia" w:cs="仿宋_GB2312"/>
          <w:color w:val="000000" w:themeColor="text1"/>
          <w:szCs w:val="32"/>
          <w14:textFill>
            <w14:solidFill>
              <w14:schemeClr w14:val="tx1"/>
            </w14:solidFill>
          </w14:textFill>
        </w:rPr>
        <w:t>旅客出行体验不断优化，</w:t>
      </w:r>
      <w:r>
        <w:rPr>
          <w:rFonts w:hint="eastAsia"/>
          <w:color w:val="000000" w:themeColor="text1"/>
          <w:szCs w:val="32"/>
          <w14:textFill>
            <w14:solidFill>
              <w14:schemeClr w14:val="tx1"/>
            </w14:solidFill>
          </w14:textFill>
        </w:rPr>
        <w:t>优质客运服务供给进一步扩大，城乡交通运输服务均等化发展水平显著提升</w:t>
      </w:r>
      <w:r>
        <w:rPr>
          <w:rFonts w:hint="eastAsia" w:cs="仿宋_GB2312"/>
          <w:color w:val="000000" w:themeColor="text1"/>
          <w:szCs w:val="32"/>
          <w14:textFill>
            <w14:solidFill>
              <w14:schemeClr w14:val="tx1"/>
            </w14:solidFill>
          </w14:textFill>
        </w:rPr>
        <w:t>。交通物流降本提质增效取得新进展，多式联运攻坚取得新成效，快递服务水平取得新提升。</w:t>
      </w:r>
    </w:p>
    <w:p>
      <w:pPr>
        <w:topLinePunct/>
        <w:spacing w:line="600" w:lineRule="exact"/>
        <w:ind w:firstLine="639" w:firstLineChars="199"/>
        <w:rPr>
          <w:rFonts w:cs="仿宋_GB2312"/>
          <w:color w:val="000000" w:themeColor="text1"/>
          <w:szCs w:val="32"/>
          <w14:textFill>
            <w14:solidFill>
              <w14:schemeClr w14:val="tx1"/>
            </w14:solidFill>
          </w14:textFill>
        </w:rPr>
      </w:pPr>
      <w:r>
        <w:rPr>
          <w:rFonts w:hint="eastAsia" w:ascii="楷体_GB2312" w:hAnsi="仿宋_GB2312" w:eastAsia="楷体_GB2312" w:cs="仿宋_GB2312"/>
          <w:b/>
          <w:bCs/>
          <w:color w:val="000000" w:themeColor="text1"/>
          <w:szCs w:val="32"/>
          <w14:textFill>
            <w14:solidFill>
              <w14:schemeClr w14:val="tx1"/>
            </w14:solidFill>
          </w14:textFill>
        </w:rPr>
        <w:t>行业转型发展取得新突破。</w:t>
      </w:r>
      <w:r>
        <w:rPr>
          <w:rFonts w:hint="eastAsia" w:cs="仿宋_GB2312"/>
          <w:color w:val="000000" w:themeColor="text1"/>
          <w:szCs w:val="32"/>
          <w14:textFill>
            <w14:solidFill>
              <w14:schemeClr w14:val="tx1"/>
            </w14:solidFill>
          </w14:textFill>
        </w:rPr>
        <w:t>交通基础设施全要素、全生命周期数字化水平不断提升，“人工智能</w:t>
      </w:r>
      <w:r>
        <w:rPr>
          <w:rFonts w:cs="仿宋_GB2312"/>
          <w:color w:val="000000" w:themeColor="text1"/>
          <w:szCs w:val="32"/>
          <w14:textFill>
            <w14:solidFill>
              <w14:schemeClr w14:val="tx1"/>
            </w14:solidFill>
          </w14:textFill>
        </w:rPr>
        <w:t>+交通运输</w:t>
      </w:r>
      <w:r>
        <w:rPr>
          <w:rFonts w:hint="eastAsia" w:cs="仿宋_GB2312"/>
          <w:color w:val="000000" w:themeColor="text1"/>
          <w:szCs w:val="32"/>
          <w14:textFill>
            <w14:solidFill>
              <w14:schemeClr w14:val="tx1"/>
            </w14:solidFill>
          </w14:textFill>
        </w:rPr>
        <w:t>”</w:t>
      </w:r>
      <w:r>
        <w:rPr>
          <w:rFonts w:cs="仿宋_GB2312"/>
          <w:color w:val="000000" w:themeColor="text1"/>
          <w:szCs w:val="32"/>
          <w14:textFill>
            <w14:solidFill>
              <w14:schemeClr w14:val="tx1"/>
            </w14:solidFill>
          </w14:textFill>
        </w:rPr>
        <w:t>应用场景</w:t>
      </w:r>
      <w:r>
        <w:rPr>
          <w:rFonts w:hint="eastAsia" w:cs="仿宋_GB2312"/>
          <w:color w:val="000000" w:themeColor="text1"/>
          <w:szCs w:val="32"/>
          <w14:textFill>
            <w14:solidFill>
              <w14:schemeClr w14:val="tx1"/>
            </w14:solidFill>
          </w14:textFill>
        </w:rPr>
        <w:t>加快拓展</w:t>
      </w:r>
      <w:r>
        <w:rPr>
          <w:rFonts w:cs="仿宋_GB2312"/>
          <w:color w:val="000000" w:themeColor="text1"/>
          <w:szCs w:val="32"/>
          <w14:textFill>
            <w14:solidFill>
              <w14:schemeClr w14:val="tx1"/>
            </w14:solidFill>
          </w14:textFill>
        </w:rPr>
        <w:t>，</w:t>
      </w:r>
      <w:r>
        <w:rPr>
          <w:rFonts w:hint="eastAsia" w:cs="仿宋_GB2312"/>
          <w:color w:val="000000" w:themeColor="text1"/>
          <w:szCs w:val="32"/>
          <w14:textFill>
            <w14:solidFill>
              <w14:schemeClr w14:val="tx1"/>
            </w14:solidFill>
          </w14:textFill>
        </w:rPr>
        <w:t>行业智能化监管效能显著增强，交通运输领域绿色低碳转型持续推进，“交通+”产业生态发展壮大。</w:t>
      </w:r>
    </w:p>
    <w:p>
      <w:pPr>
        <w:spacing w:line="600" w:lineRule="exact"/>
        <w:ind w:firstLine="643"/>
        <w:rPr>
          <w:rFonts w:cs="仿宋_GB2312"/>
          <w:color w:val="000000" w:themeColor="text1"/>
          <w:szCs w:val="32"/>
          <w14:textFill>
            <w14:solidFill>
              <w14:schemeClr w14:val="tx1"/>
            </w14:solidFill>
          </w14:textFill>
        </w:rPr>
      </w:pPr>
      <w:r>
        <w:rPr>
          <w:rFonts w:hint="eastAsia" w:ascii="楷体_GB2312" w:hAnsi="仿宋_GB2312" w:eastAsia="楷体_GB2312" w:cs="仿宋_GB2312"/>
          <w:b/>
          <w:bCs/>
          <w:color w:val="000000" w:themeColor="text1"/>
          <w:szCs w:val="32"/>
          <w14:textFill>
            <w14:solidFill>
              <w14:schemeClr w14:val="tx1"/>
            </w14:solidFill>
          </w14:textFill>
        </w:rPr>
        <w:t>安全保障能力迈上新台阶。</w:t>
      </w:r>
      <w:r>
        <w:rPr>
          <w:rFonts w:hint="eastAsia" w:cs="仿宋_GB2312"/>
          <w:color w:val="000000" w:themeColor="text1"/>
          <w:szCs w:val="32"/>
          <w14:textFill>
            <w14:solidFill>
              <w14:schemeClr w14:val="tx1"/>
            </w14:solidFill>
          </w14:textFill>
        </w:rPr>
        <w:t>交通运输维护国家安全、发展利益能力显著增强，粮食等重点物资供应链韧性和抗风险能力全面提升。交通本质安全及安全生产水平明显提高，交通基础设施安全监测预警能力大幅提升</w:t>
      </w:r>
      <w:r>
        <w:rPr>
          <w:rFonts w:cs="仿宋_GB2312"/>
          <w:color w:val="000000" w:themeColor="text1"/>
          <w:szCs w:val="32"/>
          <w14:textFill>
            <w14:solidFill>
              <w14:schemeClr w14:val="tx1"/>
            </w14:solidFill>
          </w14:textFill>
        </w:rPr>
        <w:t>。</w:t>
      </w:r>
    </w:p>
    <w:bookmarkEnd w:id="50"/>
    <w:p>
      <w:pPr>
        <w:widowControl/>
        <w:autoSpaceDE w:val="0"/>
        <w:ind w:firstLine="0" w:firstLineChars="0"/>
        <w:jc w:val="center"/>
        <w:rPr>
          <w:rFonts w:hint="eastAsia" w:ascii="仿宋" w:hAnsi="仿宋" w:eastAsia="黑体" w:cs="Times New Roman"/>
          <w:bCs/>
          <w:color w:val="000000" w:themeColor="text1"/>
          <w:kern w:val="0"/>
          <w:sz w:val="28"/>
          <w:szCs w:val="28"/>
          <w14:textFill>
            <w14:solidFill>
              <w14:schemeClr w14:val="tx1"/>
            </w14:solidFill>
          </w14:textFill>
          <w14:ligatures w14:val="none"/>
        </w:rPr>
      </w:pPr>
      <w:r>
        <w:rPr>
          <w:rFonts w:hint="eastAsia" w:ascii="仿宋" w:hAnsi="仿宋" w:eastAsia="黑体" w:cs="Times New Roman"/>
          <w:bCs/>
          <w:color w:val="000000" w:themeColor="text1"/>
          <w:kern w:val="0"/>
          <w:sz w:val="28"/>
          <w:szCs w:val="28"/>
          <w14:textFill>
            <w14:solidFill>
              <w14:schemeClr w14:val="tx1"/>
            </w14:solidFill>
          </w14:textFill>
          <w14:ligatures w14:val="none"/>
        </w:rPr>
        <w:t>“十五五”时期营口市综合交通运输发展主要指标</w:t>
      </w:r>
    </w:p>
    <w:tbl>
      <w:tblPr>
        <w:tblStyle w:val="2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567"/>
        <w:gridCol w:w="4111"/>
        <w:gridCol w:w="992"/>
        <w:gridCol w:w="993"/>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675" w:type="dxa"/>
            <w:vAlign w:val="center"/>
          </w:tcPr>
          <w:p>
            <w:pPr>
              <w:widowControl/>
              <w:spacing w:line="240" w:lineRule="auto"/>
              <w:ind w:firstLine="0" w:firstLineChars="0"/>
              <w:jc w:val="center"/>
              <w:rPr>
                <w:rFonts w:cs="Times New Roman"/>
                <w:b/>
                <w:bCs/>
                <w:color w:val="000000" w:themeColor="text1"/>
                <w:kern w:val="0"/>
                <w:sz w:val="24"/>
                <w:szCs w:val="24"/>
                <w14:textFill>
                  <w14:solidFill>
                    <w14:schemeClr w14:val="tx1"/>
                  </w14:solidFill>
                </w14:textFill>
                <w14:ligatures w14:val="none"/>
              </w:rPr>
            </w:pPr>
            <w:bookmarkStart w:id="202" w:name="_GoBack"/>
            <w:bookmarkStart w:id="54" w:name="_Hlk205650635"/>
            <w:r>
              <w:rPr>
                <w:rFonts w:hint="eastAsia" w:cs="Times New Roman"/>
                <w:b/>
                <w:bCs/>
                <w:color w:val="000000" w:themeColor="text1"/>
                <w:kern w:val="0"/>
                <w:sz w:val="24"/>
                <w:szCs w:val="24"/>
                <w14:textFill>
                  <w14:solidFill>
                    <w14:schemeClr w14:val="tx1"/>
                  </w14:solidFill>
                </w14:textFill>
                <w14:ligatures w14:val="none"/>
              </w:rPr>
              <w:t>维度</w:t>
            </w:r>
          </w:p>
        </w:tc>
        <w:tc>
          <w:tcPr>
            <w:tcW w:w="567" w:type="dxa"/>
            <w:vAlign w:val="center"/>
          </w:tcPr>
          <w:p>
            <w:pPr>
              <w:widowControl/>
              <w:spacing w:line="240" w:lineRule="auto"/>
              <w:ind w:firstLine="0" w:firstLineChars="0"/>
              <w:jc w:val="center"/>
              <w:rPr>
                <w:rFonts w:cs="Times New Roman"/>
                <w:b/>
                <w:bCs/>
                <w:color w:val="000000" w:themeColor="text1"/>
                <w:kern w:val="0"/>
                <w:sz w:val="24"/>
                <w:szCs w:val="24"/>
                <w14:textFill>
                  <w14:solidFill>
                    <w14:schemeClr w14:val="tx1"/>
                  </w14:solidFill>
                </w14:textFill>
                <w14:ligatures w14:val="none"/>
              </w:rPr>
            </w:pPr>
            <w:r>
              <w:rPr>
                <w:rFonts w:hint="eastAsia" w:cs="Times New Roman"/>
                <w:b/>
                <w:bCs/>
                <w:color w:val="000000" w:themeColor="text1"/>
                <w:kern w:val="0"/>
                <w:sz w:val="24"/>
                <w:szCs w:val="24"/>
                <w14:textFill>
                  <w14:solidFill>
                    <w14:schemeClr w14:val="tx1"/>
                  </w14:solidFill>
                </w14:textFill>
                <w14:ligatures w14:val="none"/>
              </w:rPr>
              <w:t>序号</w:t>
            </w:r>
          </w:p>
        </w:tc>
        <w:tc>
          <w:tcPr>
            <w:tcW w:w="4111" w:type="dxa"/>
            <w:vAlign w:val="center"/>
          </w:tcPr>
          <w:p>
            <w:pPr>
              <w:widowControl/>
              <w:spacing w:line="240" w:lineRule="auto"/>
              <w:ind w:firstLine="0" w:firstLineChars="0"/>
              <w:jc w:val="center"/>
              <w:rPr>
                <w:rFonts w:cs="Times New Roman"/>
                <w:b/>
                <w:bCs/>
                <w:color w:val="000000" w:themeColor="text1"/>
                <w:kern w:val="0"/>
                <w:sz w:val="24"/>
                <w:szCs w:val="24"/>
                <w14:textFill>
                  <w14:solidFill>
                    <w14:schemeClr w14:val="tx1"/>
                  </w14:solidFill>
                </w14:textFill>
                <w14:ligatures w14:val="none"/>
              </w:rPr>
            </w:pPr>
            <w:r>
              <w:rPr>
                <w:rFonts w:cs="Times New Roman"/>
                <w:b/>
                <w:bCs/>
                <w:color w:val="000000" w:themeColor="text1"/>
                <w:kern w:val="0"/>
                <w:sz w:val="24"/>
                <w:szCs w:val="24"/>
                <w14:textFill>
                  <w14:solidFill>
                    <w14:schemeClr w14:val="tx1"/>
                  </w14:solidFill>
                </w14:textFill>
                <w14:ligatures w14:val="none"/>
              </w:rPr>
              <w:t>指标名称</w:t>
            </w:r>
          </w:p>
        </w:tc>
        <w:tc>
          <w:tcPr>
            <w:tcW w:w="992" w:type="dxa"/>
            <w:vAlign w:val="center"/>
          </w:tcPr>
          <w:p>
            <w:pPr>
              <w:widowControl/>
              <w:spacing w:line="240" w:lineRule="auto"/>
              <w:ind w:firstLine="0" w:firstLineChars="0"/>
              <w:jc w:val="center"/>
              <w:rPr>
                <w:rFonts w:cs="Times New Roman"/>
                <w:b/>
                <w:bCs/>
                <w:color w:val="000000" w:themeColor="text1"/>
                <w:kern w:val="0"/>
                <w:sz w:val="24"/>
                <w:szCs w:val="24"/>
                <w14:textFill>
                  <w14:solidFill>
                    <w14:schemeClr w14:val="tx1"/>
                  </w14:solidFill>
                </w14:textFill>
                <w14:ligatures w14:val="none"/>
              </w:rPr>
            </w:pPr>
            <w:r>
              <w:rPr>
                <w:rFonts w:cs="Times New Roman"/>
                <w:b/>
                <w:bCs/>
                <w:color w:val="000000" w:themeColor="text1"/>
                <w:kern w:val="0"/>
                <w:sz w:val="24"/>
                <w:szCs w:val="24"/>
                <w14:textFill>
                  <w14:solidFill>
                    <w14:schemeClr w14:val="tx1"/>
                  </w14:solidFill>
                </w14:textFill>
                <w14:ligatures w14:val="none"/>
              </w:rPr>
              <w:t>2025年</w:t>
            </w:r>
          </w:p>
        </w:tc>
        <w:tc>
          <w:tcPr>
            <w:tcW w:w="993" w:type="dxa"/>
            <w:vAlign w:val="center"/>
          </w:tcPr>
          <w:p>
            <w:pPr>
              <w:widowControl/>
              <w:spacing w:line="240" w:lineRule="auto"/>
              <w:ind w:firstLine="0" w:firstLineChars="0"/>
              <w:jc w:val="center"/>
              <w:rPr>
                <w:rFonts w:cs="Times New Roman"/>
                <w:b/>
                <w:bCs/>
                <w:color w:val="000000" w:themeColor="text1"/>
                <w:kern w:val="0"/>
                <w:sz w:val="24"/>
                <w:szCs w:val="24"/>
                <w14:textFill>
                  <w14:solidFill>
                    <w14:schemeClr w14:val="tx1"/>
                  </w14:solidFill>
                </w14:textFill>
                <w14:ligatures w14:val="none"/>
              </w:rPr>
            </w:pPr>
            <w:r>
              <w:rPr>
                <w:rFonts w:hint="eastAsia" w:cs="Times New Roman"/>
                <w:b/>
                <w:bCs/>
                <w:color w:val="000000" w:themeColor="text1"/>
                <w:kern w:val="0"/>
                <w:sz w:val="24"/>
                <w:szCs w:val="24"/>
                <w14:textFill>
                  <w14:solidFill>
                    <w14:schemeClr w14:val="tx1"/>
                  </w14:solidFill>
                </w14:textFill>
                <w14:ligatures w14:val="none"/>
              </w:rPr>
              <w:t>2030年</w:t>
            </w:r>
          </w:p>
        </w:tc>
        <w:tc>
          <w:tcPr>
            <w:tcW w:w="1184" w:type="dxa"/>
            <w:vAlign w:val="center"/>
          </w:tcPr>
          <w:p>
            <w:pPr>
              <w:widowControl/>
              <w:spacing w:line="240" w:lineRule="auto"/>
              <w:ind w:firstLine="0" w:firstLineChars="0"/>
              <w:jc w:val="center"/>
              <w:rPr>
                <w:rFonts w:cs="Times New Roman"/>
                <w:b/>
                <w:bCs/>
                <w:color w:val="000000" w:themeColor="text1"/>
                <w:kern w:val="0"/>
                <w:sz w:val="24"/>
                <w:szCs w:val="24"/>
                <w14:textFill>
                  <w14:solidFill>
                    <w14:schemeClr w14:val="tx1"/>
                  </w14:solidFill>
                </w14:textFill>
                <w14:ligatures w14:val="none"/>
              </w:rPr>
            </w:pPr>
            <w:r>
              <w:rPr>
                <w:rFonts w:hint="eastAsia" w:cs="Times New Roman"/>
                <w:b/>
                <w:bCs/>
                <w:color w:val="000000" w:themeColor="text1"/>
                <w:kern w:val="0"/>
                <w:sz w:val="24"/>
                <w:szCs w:val="24"/>
                <w14:textFill>
                  <w14:solidFill>
                    <w14:schemeClr w14:val="tx1"/>
                  </w14:solidFill>
                </w14:textFill>
                <w14:ligatures w14:val="none"/>
              </w:rPr>
              <w:t>属性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5" w:type="dxa"/>
            <w:vMerge w:val="restart"/>
            <w:vAlign w:val="center"/>
          </w:tcPr>
          <w:p>
            <w:pPr>
              <w:widowControl/>
              <w:spacing w:line="240" w:lineRule="auto"/>
              <w:ind w:firstLine="0" w:firstLineChars="0"/>
              <w:jc w:val="center"/>
              <w:rPr>
                <w:rFonts w:cs="Times New Roman"/>
                <w:b/>
                <w:bCs/>
                <w:color w:val="000000" w:themeColor="text1"/>
                <w:kern w:val="0"/>
                <w:sz w:val="24"/>
                <w:szCs w:val="24"/>
                <w14:textFill>
                  <w14:solidFill>
                    <w14:schemeClr w14:val="tx1"/>
                  </w14:solidFill>
                </w14:textFill>
                <w14:ligatures w14:val="none"/>
              </w:rPr>
            </w:pPr>
            <w:r>
              <w:rPr>
                <w:rFonts w:hint="eastAsia" w:cs="Times New Roman"/>
                <w:b/>
                <w:bCs/>
                <w:color w:val="000000" w:themeColor="text1"/>
                <w:kern w:val="0"/>
                <w:sz w:val="24"/>
                <w:szCs w:val="24"/>
                <w14:textFill>
                  <w14:solidFill>
                    <w14:schemeClr w14:val="tx1"/>
                  </w14:solidFill>
                </w14:textFill>
                <w14:ligatures w14:val="none"/>
              </w:rPr>
              <w:t>基</w:t>
            </w:r>
          </w:p>
          <w:p>
            <w:pPr>
              <w:widowControl/>
              <w:spacing w:line="240" w:lineRule="auto"/>
              <w:ind w:firstLine="0" w:firstLineChars="0"/>
              <w:jc w:val="center"/>
              <w:rPr>
                <w:rFonts w:cs="Times New Roman"/>
                <w:b/>
                <w:bCs/>
                <w:color w:val="000000" w:themeColor="text1"/>
                <w:kern w:val="0"/>
                <w:sz w:val="24"/>
                <w:szCs w:val="24"/>
                <w14:textFill>
                  <w14:solidFill>
                    <w14:schemeClr w14:val="tx1"/>
                  </w14:solidFill>
                </w14:textFill>
                <w14:ligatures w14:val="none"/>
              </w:rPr>
            </w:pPr>
            <w:r>
              <w:rPr>
                <w:rFonts w:hint="eastAsia" w:cs="Times New Roman"/>
                <w:b/>
                <w:bCs/>
                <w:color w:val="000000" w:themeColor="text1"/>
                <w:kern w:val="0"/>
                <w:sz w:val="24"/>
                <w:szCs w:val="24"/>
                <w14:textFill>
                  <w14:solidFill>
                    <w14:schemeClr w14:val="tx1"/>
                  </w14:solidFill>
                </w14:textFill>
                <w14:ligatures w14:val="none"/>
              </w:rPr>
              <w:t>础</w:t>
            </w:r>
          </w:p>
          <w:p>
            <w:pPr>
              <w:widowControl/>
              <w:spacing w:line="240" w:lineRule="auto"/>
              <w:ind w:firstLine="0" w:firstLineChars="0"/>
              <w:jc w:val="center"/>
              <w:rPr>
                <w:rFonts w:cs="Times New Roman"/>
                <w:b/>
                <w:bCs/>
                <w:color w:val="000000" w:themeColor="text1"/>
                <w:kern w:val="0"/>
                <w:sz w:val="24"/>
                <w:szCs w:val="24"/>
                <w14:textFill>
                  <w14:solidFill>
                    <w14:schemeClr w14:val="tx1"/>
                  </w14:solidFill>
                </w14:textFill>
                <w14:ligatures w14:val="none"/>
              </w:rPr>
            </w:pPr>
            <w:r>
              <w:rPr>
                <w:rFonts w:hint="eastAsia" w:cs="Times New Roman"/>
                <w:b/>
                <w:bCs/>
                <w:color w:val="000000" w:themeColor="text1"/>
                <w:kern w:val="0"/>
                <w:sz w:val="24"/>
                <w:szCs w:val="24"/>
                <w14:textFill>
                  <w14:solidFill>
                    <w14:schemeClr w14:val="tx1"/>
                  </w14:solidFill>
                </w14:textFill>
                <w14:ligatures w14:val="none"/>
              </w:rPr>
              <w:t>设</w:t>
            </w:r>
          </w:p>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hint="eastAsia" w:cs="Times New Roman"/>
                <w:b/>
                <w:bCs/>
                <w:color w:val="000000" w:themeColor="text1"/>
                <w:kern w:val="0"/>
                <w:sz w:val="24"/>
                <w:szCs w:val="24"/>
                <w14:textFill>
                  <w14:solidFill>
                    <w14:schemeClr w14:val="tx1"/>
                  </w14:solidFill>
                </w14:textFill>
                <w14:ligatures w14:val="none"/>
              </w:rPr>
              <w:t>施</w:t>
            </w:r>
          </w:p>
          <w:p>
            <w:pPr>
              <w:spacing w:line="240" w:lineRule="auto"/>
              <w:ind w:firstLine="480"/>
              <w:jc w:val="center"/>
              <w:rPr>
                <w:rFonts w:cs="Times New Roman"/>
                <w:color w:val="000000" w:themeColor="text1"/>
                <w:kern w:val="0"/>
                <w:sz w:val="24"/>
                <w:szCs w:val="24"/>
                <w14:textFill>
                  <w14:solidFill>
                    <w14:schemeClr w14:val="tx1"/>
                  </w14:solidFill>
                </w14:textFill>
                <w14:ligatures w14:val="none"/>
              </w:rPr>
            </w:pPr>
          </w:p>
        </w:tc>
        <w:tc>
          <w:tcPr>
            <w:tcW w:w="567"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hint="eastAsia" w:cs="Times New Roman"/>
                <w:color w:val="000000" w:themeColor="text1"/>
                <w:kern w:val="0"/>
                <w:sz w:val="24"/>
                <w:szCs w:val="24"/>
                <w14:textFill>
                  <w14:solidFill>
                    <w14:schemeClr w14:val="tx1"/>
                  </w14:solidFill>
                </w14:textFill>
                <w14:ligatures w14:val="none"/>
              </w:rPr>
              <w:t>1</w:t>
            </w:r>
          </w:p>
        </w:tc>
        <w:tc>
          <w:tcPr>
            <w:tcW w:w="4111" w:type="dxa"/>
            <w:vAlign w:val="center"/>
          </w:tcPr>
          <w:p>
            <w:pPr>
              <w:autoSpaceDN w:val="0"/>
              <w:spacing w:line="240" w:lineRule="auto"/>
              <w:ind w:firstLine="0" w:firstLineChars="0"/>
              <w:textAlignment w:val="center"/>
              <w:rPr>
                <w:rFonts w:cs="Times New Roman"/>
                <w:snapToGrid w:val="0"/>
                <w:color w:val="000000" w:themeColor="text1"/>
                <w:kern w:val="0"/>
                <w:sz w:val="24"/>
                <w:szCs w:val="20"/>
                <w14:textFill>
                  <w14:solidFill>
                    <w14:schemeClr w14:val="tx1"/>
                  </w14:solidFill>
                </w14:textFill>
                <w14:ligatures w14:val="none"/>
              </w:rPr>
            </w:pPr>
            <w:r>
              <w:rPr>
                <w:rFonts w:hint="eastAsia" w:cs="Times New Roman"/>
                <w:snapToGrid w:val="0"/>
                <w:color w:val="000000" w:themeColor="text1"/>
                <w:kern w:val="0"/>
                <w:sz w:val="24"/>
                <w:szCs w:val="20"/>
                <w14:textFill>
                  <w14:solidFill>
                    <w14:schemeClr w14:val="tx1"/>
                  </w14:solidFill>
                </w14:textFill>
                <w14:ligatures w14:val="none"/>
              </w:rPr>
              <w:t>公路通车总里程（公里）</w:t>
            </w:r>
          </w:p>
        </w:tc>
        <w:tc>
          <w:tcPr>
            <w:tcW w:w="992"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hint="eastAsia" w:cs="Times New Roman"/>
                <w:color w:val="000000" w:themeColor="text1"/>
                <w:kern w:val="0"/>
                <w:sz w:val="24"/>
                <w:szCs w:val="24"/>
                <w14:textFill>
                  <w14:solidFill>
                    <w14:schemeClr w14:val="tx1"/>
                  </w14:solidFill>
                </w14:textFill>
                <w14:ligatures w14:val="none"/>
              </w:rPr>
              <w:t>4752.1</w:t>
            </w:r>
          </w:p>
        </w:tc>
        <w:tc>
          <w:tcPr>
            <w:tcW w:w="993"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hint="eastAsia" w:cs="Times New Roman"/>
                <w:color w:val="000000" w:themeColor="text1"/>
                <w:kern w:val="0"/>
                <w:sz w:val="24"/>
                <w:szCs w:val="24"/>
                <w14:textFill>
                  <w14:solidFill>
                    <w14:schemeClr w14:val="tx1"/>
                  </w14:solidFill>
                </w14:textFill>
                <w14:ligatures w14:val="none"/>
              </w:rPr>
              <w:t>4852</w:t>
            </w:r>
          </w:p>
        </w:tc>
        <w:tc>
          <w:tcPr>
            <w:tcW w:w="1184"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hint="eastAsia" w:cs="Times New Roman"/>
                <w:color w:val="000000" w:themeColor="text1"/>
                <w:kern w:val="0"/>
                <w:sz w:val="24"/>
                <w:szCs w:val="24"/>
                <w14:textFill>
                  <w14:solidFill>
                    <w14:schemeClr w14:val="tx1"/>
                  </w14:solidFill>
                </w14:textFill>
                <w14:ligatures w14:val="none"/>
              </w:rPr>
              <w:t>预期性</w:t>
            </w:r>
            <w:r>
              <w:rPr>
                <w:rFonts w:cs="Times New Roman"/>
                <w:color w:val="000000" w:themeColor="text1"/>
                <w:kern w:val="0"/>
                <w:sz w:val="24"/>
                <w:szCs w:val="24"/>
                <w14:textFill>
                  <w14:solidFill>
                    <w14:schemeClr w14:val="tx1"/>
                  </w14:solidFill>
                </w14:textFill>
                <w14:ligatures w14: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675" w:type="dxa"/>
            <w:vMerge w:val="continue"/>
            <w:vAlign w:val="center"/>
          </w:tcPr>
          <w:p>
            <w:pPr>
              <w:spacing w:line="240" w:lineRule="auto"/>
              <w:ind w:firstLine="480"/>
              <w:jc w:val="center"/>
              <w:rPr>
                <w:rFonts w:cs="Times New Roman"/>
                <w:color w:val="000000" w:themeColor="text1"/>
                <w:kern w:val="0"/>
                <w:sz w:val="24"/>
                <w:szCs w:val="24"/>
                <w14:textFill>
                  <w14:solidFill>
                    <w14:schemeClr w14:val="tx1"/>
                  </w14:solidFill>
                </w14:textFill>
                <w14:ligatures w14:val="none"/>
              </w:rPr>
            </w:pPr>
          </w:p>
        </w:tc>
        <w:tc>
          <w:tcPr>
            <w:tcW w:w="567"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hint="eastAsia" w:cs="Times New Roman"/>
                <w:color w:val="000000" w:themeColor="text1"/>
                <w:kern w:val="0"/>
                <w:sz w:val="24"/>
                <w:szCs w:val="24"/>
                <w14:textFill>
                  <w14:solidFill>
                    <w14:schemeClr w14:val="tx1"/>
                  </w14:solidFill>
                </w14:textFill>
                <w14:ligatures w14:val="none"/>
              </w:rPr>
              <w:t>2</w:t>
            </w:r>
          </w:p>
        </w:tc>
        <w:tc>
          <w:tcPr>
            <w:tcW w:w="4111" w:type="dxa"/>
            <w:vAlign w:val="center"/>
          </w:tcPr>
          <w:p>
            <w:pPr>
              <w:autoSpaceDN w:val="0"/>
              <w:spacing w:line="240" w:lineRule="auto"/>
              <w:ind w:firstLine="0" w:firstLineChars="0"/>
              <w:textAlignment w:val="center"/>
              <w:rPr>
                <w:rFonts w:cs="Times New Roman"/>
                <w:snapToGrid w:val="0"/>
                <w:color w:val="000000" w:themeColor="text1"/>
                <w:kern w:val="0"/>
                <w:sz w:val="24"/>
                <w:szCs w:val="20"/>
                <w14:textFill>
                  <w14:solidFill>
                    <w14:schemeClr w14:val="tx1"/>
                  </w14:solidFill>
                </w14:textFill>
                <w14:ligatures w14:val="none"/>
              </w:rPr>
            </w:pPr>
            <w:r>
              <w:rPr>
                <w:rFonts w:hint="eastAsia" w:cs="Times New Roman"/>
                <w:snapToGrid w:val="0"/>
                <w:color w:val="000000" w:themeColor="text1"/>
                <w:kern w:val="0"/>
                <w:sz w:val="24"/>
                <w:szCs w:val="20"/>
                <w14:textFill>
                  <w14:solidFill>
                    <w14:schemeClr w14:val="tx1"/>
                  </w14:solidFill>
                </w14:textFill>
                <w14:ligatures w14:val="none"/>
              </w:rPr>
              <w:t>其中：国省干线公路里程（公里）</w:t>
            </w:r>
          </w:p>
        </w:tc>
        <w:tc>
          <w:tcPr>
            <w:tcW w:w="992"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hint="eastAsia" w:cs="Times New Roman"/>
                <w:color w:val="000000" w:themeColor="text1"/>
                <w:kern w:val="0"/>
                <w:sz w:val="24"/>
                <w:szCs w:val="24"/>
                <w14:textFill>
                  <w14:solidFill>
                    <w14:schemeClr w14:val="tx1"/>
                  </w14:solidFill>
                </w14:textFill>
                <w14:ligatures w14:val="none"/>
              </w:rPr>
              <w:t>769.9</w:t>
            </w:r>
          </w:p>
        </w:tc>
        <w:tc>
          <w:tcPr>
            <w:tcW w:w="993"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hint="eastAsia" w:cs="Times New Roman"/>
                <w:color w:val="000000" w:themeColor="text1"/>
                <w:kern w:val="0"/>
                <w:sz w:val="24"/>
                <w:szCs w:val="24"/>
                <w14:textFill>
                  <w14:solidFill>
                    <w14:schemeClr w14:val="tx1"/>
                  </w14:solidFill>
                </w14:textFill>
                <w14:ligatures w14:val="none"/>
              </w:rPr>
              <w:t>864.9</w:t>
            </w:r>
          </w:p>
        </w:tc>
        <w:tc>
          <w:tcPr>
            <w:tcW w:w="1184"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hint="eastAsia" w:cs="Times New Roman"/>
                <w:color w:val="000000" w:themeColor="text1"/>
                <w:kern w:val="0"/>
                <w:sz w:val="24"/>
                <w:szCs w:val="24"/>
                <w14:textFill>
                  <w14:solidFill>
                    <w14:schemeClr w14:val="tx1"/>
                  </w14:solidFill>
                </w14:textFill>
                <w14:ligatures w14:val="none"/>
              </w:rPr>
              <w:t>预期性</w:t>
            </w:r>
            <w:r>
              <w:rPr>
                <w:rFonts w:cs="Times New Roman"/>
                <w:color w:val="000000" w:themeColor="text1"/>
                <w:kern w:val="0"/>
                <w:sz w:val="24"/>
                <w:szCs w:val="24"/>
                <w14:textFill>
                  <w14:solidFill>
                    <w14:schemeClr w14:val="tx1"/>
                  </w14:solidFill>
                </w14:textFill>
                <w14:ligatures w14: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5" w:type="dxa"/>
            <w:vMerge w:val="continue"/>
            <w:vAlign w:val="center"/>
          </w:tcPr>
          <w:p>
            <w:pPr>
              <w:spacing w:line="240" w:lineRule="auto"/>
              <w:ind w:firstLine="480"/>
              <w:jc w:val="center"/>
              <w:rPr>
                <w:rFonts w:cs="Times New Roman"/>
                <w:color w:val="000000" w:themeColor="text1"/>
                <w:kern w:val="0"/>
                <w:sz w:val="24"/>
                <w:szCs w:val="24"/>
                <w14:textFill>
                  <w14:solidFill>
                    <w14:schemeClr w14:val="tx1"/>
                  </w14:solidFill>
                </w14:textFill>
                <w14:ligatures w14:val="none"/>
              </w:rPr>
            </w:pPr>
          </w:p>
        </w:tc>
        <w:tc>
          <w:tcPr>
            <w:tcW w:w="567"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hint="eastAsia" w:cs="Times New Roman"/>
                <w:color w:val="000000" w:themeColor="text1"/>
                <w:kern w:val="0"/>
                <w:sz w:val="24"/>
                <w:szCs w:val="24"/>
                <w14:textFill>
                  <w14:solidFill>
                    <w14:schemeClr w14:val="tx1"/>
                  </w14:solidFill>
                </w14:textFill>
                <w14:ligatures w14:val="none"/>
              </w:rPr>
              <w:t>3</w:t>
            </w:r>
          </w:p>
        </w:tc>
        <w:tc>
          <w:tcPr>
            <w:tcW w:w="4111" w:type="dxa"/>
            <w:vAlign w:val="center"/>
          </w:tcPr>
          <w:p>
            <w:pPr>
              <w:autoSpaceDN w:val="0"/>
              <w:spacing w:line="240" w:lineRule="auto"/>
              <w:ind w:firstLine="720" w:firstLineChars="300"/>
              <w:textAlignment w:val="center"/>
              <w:rPr>
                <w:rFonts w:cs="Times New Roman"/>
                <w:snapToGrid w:val="0"/>
                <w:color w:val="000000" w:themeColor="text1"/>
                <w:kern w:val="0"/>
                <w:sz w:val="24"/>
                <w:szCs w:val="20"/>
                <w14:textFill>
                  <w14:solidFill>
                    <w14:schemeClr w14:val="tx1"/>
                  </w14:solidFill>
                </w14:textFill>
                <w14:ligatures w14:val="none"/>
              </w:rPr>
            </w:pPr>
            <w:r>
              <w:rPr>
                <w:rFonts w:hint="eastAsia" w:cs="Times New Roman"/>
                <w:snapToGrid w:val="0"/>
                <w:color w:val="000000" w:themeColor="text1"/>
                <w:kern w:val="0"/>
                <w:sz w:val="24"/>
                <w:szCs w:val="20"/>
                <w14:textFill>
                  <w14:solidFill>
                    <w14:schemeClr w14:val="tx1"/>
                  </w14:solidFill>
                </w14:textFill>
                <w14:ligatures w14:val="none"/>
              </w:rPr>
              <w:t>农村公路里程（公里）</w:t>
            </w:r>
          </w:p>
        </w:tc>
        <w:tc>
          <w:tcPr>
            <w:tcW w:w="992"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hint="eastAsia" w:cs="Times New Roman"/>
                <w:color w:val="000000" w:themeColor="text1"/>
                <w:kern w:val="0"/>
                <w:sz w:val="24"/>
                <w:szCs w:val="24"/>
                <w14:textFill>
                  <w14:solidFill>
                    <w14:schemeClr w14:val="tx1"/>
                  </w14:solidFill>
                </w14:textFill>
                <w14:ligatures w14:val="none"/>
              </w:rPr>
              <w:t>3786.4</w:t>
            </w:r>
          </w:p>
        </w:tc>
        <w:tc>
          <w:tcPr>
            <w:tcW w:w="993"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hint="eastAsia" w:cs="Times New Roman"/>
                <w:color w:val="000000" w:themeColor="text1"/>
                <w:kern w:val="0"/>
                <w:sz w:val="24"/>
                <w:szCs w:val="24"/>
                <w14:textFill>
                  <w14:solidFill>
                    <w14:schemeClr w14:val="tx1"/>
                  </w14:solidFill>
                </w14:textFill>
                <w14:ligatures w14:val="none"/>
              </w:rPr>
              <w:t>3791</w:t>
            </w:r>
          </w:p>
        </w:tc>
        <w:tc>
          <w:tcPr>
            <w:tcW w:w="1184"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hint="eastAsia" w:cs="Times New Roman"/>
                <w:color w:val="000000" w:themeColor="text1"/>
                <w:kern w:val="0"/>
                <w:sz w:val="24"/>
                <w:szCs w:val="24"/>
                <w14:textFill>
                  <w14:solidFill>
                    <w14:schemeClr w14:val="tx1"/>
                  </w14:solidFill>
                </w14:textFill>
                <w14:ligatures w14: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5" w:type="dxa"/>
            <w:vMerge w:val="continue"/>
            <w:vAlign w:val="center"/>
          </w:tcPr>
          <w:p>
            <w:pPr>
              <w:spacing w:line="240" w:lineRule="auto"/>
              <w:ind w:firstLine="480"/>
              <w:jc w:val="center"/>
              <w:rPr>
                <w:rFonts w:cs="Times New Roman"/>
                <w:color w:val="000000" w:themeColor="text1"/>
                <w:kern w:val="0"/>
                <w:sz w:val="24"/>
                <w:szCs w:val="24"/>
                <w14:textFill>
                  <w14:solidFill>
                    <w14:schemeClr w14:val="tx1"/>
                  </w14:solidFill>
                </w14:textFill>
                <w14:ligatures w14:val="none"/>
              </w:rPr>
            </w:pPr>
          </w:p>
        </w:tc>
        <w:tc>
          <w:tcPr>
            <w:tcW w:w="567"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hint="eastAsia" w:cs="Times New Roman"/>
                <w:color w:val="000000" w:themeColor="text1"/>
                <w:kern w:val="0"/>
                <w:sz w:val="24"/>
                <w:szCs w:val="24"/>
                <w14:textFill>
                  <w14:solidFill>
                    <w14:schemeClr w14:val="tx1"/>
                  </w14:solidFill>
                </w14:textFill>
                <w14:ligatures w14:val="none"/>
              </w:rPr>
              <w:t>4</w:t>
            </w:r>
          </w:p>
        </w:tc>
        <w:tc>
          <w:tcPr>
            <w:tcW w:w="4111" w:type="dxa"/>
            <w:vAlign w:val="center"/>
          </w:tcPr>
          <w:p>
            <w:pPr>
              <w:autoSpaceDN w:val="0"/>
              <w:spacing w:line="240" w:lineRule="auto"/>
              <w:ind w:firstLine="0" w:firstLineChars="0"/>
              <w:textAlignment w:val="center"/>
              <w:rPr>
                <w:rFonts w:cs="Times New Roman"/>
                <w:snapToGrid w:val="0"/>
                <w:color w:val="000000" w:themeColor="text1"/>
                <w:kern w:val="0"/>
                <w:sz w:val="24"/>
                <w:szCs w:val="20"/>
                <w14:textFill>
                  <w14:solidFill>
                    <w14:schemeClr w14:val="tx1"/>
                  </w14:solidFill>
                </w14:textFill>
                <w14:ligatures w14:val="none"/>
              </w:rPr>
            </w:pPr>
            <w:r>
              <w:rPr>
                <w:rFonts w:hint="eastAsia" w:cs="Times New Roman"/>
                <w:snapToGrid w:val="0"/>
                <w:color w:val="000000" w:themeColor="text1"/>
                <w:kern w:val="0"/>
                <w:sz w:val="24"/>
                <w:szCs w:val="20"/>
                <w14:textFill>
                  <w14:solidFill>
                    <w14:schemeClr w14:val="tx1"/>
                  </w14:solidFill>
                </w14:textFill>
                <w14:ligatures w14:val="none"/>
              </w:rPr>
              <w:t>国省干线公路二级及以上比例（</w:t>
            </w:r>
            <w:r>
              <w:rPr>
                <w:rFonts w:cs="Times New Roman"/>
                <w:snapToGrid w:val="0"/>
                <w:color w:val="000000" w:themeColor="text1"/>
                <w:kern w:val="0"/>
                <w:sz w:val="24"/>
                <w:szCs w:val="20"/>
                <w14:textFill>
                  <w14:solidFill>
                    <w14:schemeClr w14:val="tx1"/>
                  </w14:solidFill>
                </w14:textFill>
                <w14:ligatures w14:val="none"/>
              </w:rPr>
              <w:t>%</w:t>
            </w:r>
            <w:r>
              <w:rPr>
                <w:rFonts w:hint="eastAsia" w:cs="Times New Roman"/>
                <w:snapToGrid w:val="0"/>
                <w:color w:val="000000" w:themeColor="text1"/>
                <w:kern w:val="0"/>
                <w:sz w:val="24"/>
                <w:szCs w:val="20"/>
                <w14:textFill>
                  <w14:solidFill>
                    <w14:schemeClr w14:val="tx1"/>
                  </w14:solidFill>
                </w14:textFill>
                <w14:ligatures w14:val="none"/>
              </w:rPr>
              <w:t>）</w:t>
            </w:r>
          </w:p>
        </w:tc>
        <w:tc>
          <w:tcPr>
            <w:tcW w:w="992"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hint="eastAsia" w:cs="Times New Roman"/>
                <w:color w:val="000000" w:themeColor="text1"/>
                <w:kern w:val="0"/>
                <w:sz w:val="24"/>
                <w:szCs w:val="24"/>
                <w14:textFill>
                  <w14:solidFill>
                    <w14:schemeClr w14:val="tx1"/>
                  </w14:solidFill>
                </w14:textFill>
                <w14:ligatures w14:val="none"/>
              </w:rPr>
              <w:t>93.8</w:t>
            </w:r>
          </w:p>
        </w:tc>
        <w:tc>
          <w:tcPr>
            <w:tcW w:w="993"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hint="eastAsia" w:cs="Times New Roman"/>
                <w:color w:val="000000" w:themeColor="text1"/>
                <w:kern w:val="0"/>
                <w:sz w:val="24"/>
                <w:szCs w:val="24"/>
                <w14:textFill>
                  <w14:solidFill>
                    <w14:schemeClr w14:val="tx1"/>
                  </w14:solidFill>
                </w14:textFill>
                <w14:ligatures w14:val="none"/>
              </w:rPr>
              <w:t>94</w:t>
            </w:r>
          </w:p>
        </w:tc>
        <w:tc>
          <w:tcPr>
            <w:tcW w:w="1184"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hint="eastAsia" w:cs="Times New Roman"/>
                <w:color w:val="000000" w:themeColor="text1"/>
                <w:kern w:val="0"/>
                <w:sz w:val="24"/>
                <w:szCs w:val="24"/>
                <w14:textFill>
                  <w14:solidFill>
                    <w14:schemeClr w14:val="tx1"/>
                  </w14:solidFill>
                </w14:textFill>
                <w14:ligatures w14: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5" w:type="dxa"/>
            <w:vMerge w:val="continue"/>
            <w:vAlign w:val="center"/>
          </w:tcPr>
          <w:p>
            <w:pPr>
              <w:spacing w:line="240" w:lineRule="auto"/>
              <w:ind w:firstLine="480"/>
              <w:jc w:val="center"/>
              <w:rPr>
                <w:rFonts w:cs="Times New Roman"/>
                <w:color w:val="000000" w:themeColor="text1"/>
                <w:kern w:val="0"/>
                <w:sz w:val="24"/>
                <w:szCs w:val="24"/>
                <w14:textFill>
                  <w14:solidFill>
                    <w14:schemeClr w14:val="tx1"/>
                  </w14:solidFill>
                </w14:textFill>
                <w14:ligatures w14:val="none"/>
              </w:rPr>
            </w:pPr>
          </w:p>
        </w:tc>
        <w:tc>
          <w:tcPr>
            <w:tcW w:w="567"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hint="eastAsia" w:cs="Times New Roman"/>
                <w:color w:val="000000" w:themeColor="text1"/>
                <w:kern w:val="0"/>
                <w:sz w:val="24"/>
                <w:szCs w:val="24"/>
                <w14:textFill>
                  <w14:solidFill>
                    <w14:schemeClr w14:val="tx1"/>
                  </w14:solidFill>
                </w14:textFill>
                <w14:ligatures w14:val="none"/>
              </w:rPr>
              <w:t>5</w:t>
            </w:r>
          </w:p>
        </w:tc>
        <w:tc>
          <w:tcPr>
            <w:tcW w:w="4111" w:type="dxa"/>
            <w:vAlign w:val="center"/>
          </w:tcPr>
          <w:p>
            <w:pPr>
              <w:autoSpaceDN w:val="0"/>
              <w:spacing w:line="240" w:lineRule="auto"/>
              <w:ind w:firstLine="0" w:firstLineChars="0"/>
              <w:textAlignment w:val="center"/>
              <w:rPr>
                <w:rFonts w:cs="Times New Roman"/>
                <w:snapToGrid w:val="0"/>
                <w:color w:val="000000" w:themeColor="text1"/>
                <w:kern w:val="0"/>
                <w:sz w:val="24"/>
                <w:szCs w:val="20"/>
                <w14:textFill>
                  <w14:solidFill>
                    <w14:schemeClr w14:val="tx1"/>
                  </w14:solidFill>
                </w14:textFill>
                <w14:ligatures w14:val="none"/>
              </w:rPr>
            </w:pPr>
            <w:r>
              <w:rPr>
                <w:rFonts w:hint="eastAsia" w:cs="Times New Roman"/>
                <w:snapToGrid w:val="0"/>
                <w:color w:val="000000" w:themeColor="text1"/>
                <w:kern w:val="0"/>
                <w:sz w:val="24"/>
                <w:szCs w:val="20"/>
                <w14:textFill>
                  <w14:solidFill>
                    <w14:schemeClr w14:val="tx1"/>
                  </w14:solidFill>
                </w14:textFill>
                <w14:ligatures w14:val="none"/>
              </w:rPr>
              <w:t>干线公路</w:t>
            </w:r>
            <w:r>
              <w:rPr>
                <w:rFonts w:cs="Times New Roman"/>
                <w:snapToGrid w:val="0"/>
                <w:color w:val="000000" w:themeColor="text1"/>
                <w:kern w:val="0"/>
                <w:sz w:val="24"/>
                <w:szCs w:val="20"/>
                <w14:textFill>
                  <w14:solidFill>
                    <w14:schemeClr w14:val="tx1"/>
                  </w14:solidFill>
                </w14:textFill>
                <w14:ligatures w14:val="none"/>
              </w:rPr>
              <w:t>乡镇覆盖率</w:t>
            </w:r>
            <w:r>
              <w:rPr>
                <w:rFonts w:hint="eastAsia" w:cs="Times New Roman"/>
                <w:snapToGrid w:val="0"/>
                <w:color w:val="000000" w:themeColor="text1"/>
                <w:kern w:val="0"/>
                <w:sz w:val="24"/>
                <w:szCs w:val="20"/>
                <w14:textFill>
                  <w14:solidFill>
                    <w14:schemeClr w14:val="tx1"/>
                  </w14:solidFill>
                </w14:textFill>
                <w14:ligatures w14:val="none"/>
              </w:rPr>
              <w:t>（%）</w:t>
            </w:r>
          </w:p>
        </w:tc>
        <w:tc>
          <w:tcPr>
            <w:tcW w:w="992"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rPr>
            </w:pPr>
            <w:r>
              <w:rPr>
                <w:rFonts w:hint="eastAsia" w:cs="Times New Roman"/>
                <w:color w:val="000000" w:themeColor="text1"/>
                <w:kern w:val="0"/>
                <w:sz w:val="24"/>
                <w:szCs w:val="24"/>
                <w14:textFill>
                  <w14:solidFill>
                    <w14:schemeClr w14:val="tx1"/>
                  </w14:solidFill>
                </w14:textFill>
              </w:rPr>
              <w:t>95</w:t>
            </w:r>
          </w:p>
        </w:tc>
        <w:tc>
          <w:tcPr>
            <w:tcW w:w="993"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rPr>
            </w:pPr>
            <w:r>
              <w:rPr>
                <w:rFonts w:hint="eastAsia" w:cs="Times New Roman"/>
                <w:color w:val="000000" w:themeColor="text1"/>
                <w:kern w:val="0"/>
                <w:sz w:val="24"/>
                <w:szCs w:val="24"/>
                <w14:textFill>
                  <w14:solidFill>
                    <w14:schemeClr w14:val="tx1"/>
                  </w14:solidFill>
                </w14:textFill>
              </w:rPr>
              <w:t>100</w:t>
            </w:r>
          </w:p>
        </w:tc>
        <w:tc>
          <w:tcPr>
            <w:tcW w:w="1184"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hint="eastAsia" w:cs="Times New Roman"/>
                <w:color w:val="000000" w:themeColor="text1"/>
                <w:kern w:val="0"/>
                <w:sz w:val="24"/>
                <w:szCs w:val="24"/>
                <w14:textFill>
                  <w14:solidFill>
                    <w14:schemeClr w14:val="tx1"/>
                  </w14:solidFill>
                </w14:textFill>
                <w14:ligatures w14:val="none"/>
              </w:rPr>
              <w:t>预期性</w:t>
            </w:r>
            <w:r>
              <w:rPr>
                <w:rFonts w:cs="Times New Roman"/>
                <w:color w:val="000000" w:themeColor="text1"/>
                <w:kern w:val="0"/>
                <w:sz w:val="24"/>
                <w:szCs w:val="24"/>
                <w14:textFill>
                  <w14:solidFill>
                    <w14:schemeClr w14:val="tx1"/>
                  </w14:solidFill>
                </w14:textFill>
                <w14:ligatures w14: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5" w:type="dxa"/>
            <w:vMerge w:val="continue"/>
            <w:vAlign w:val="center"/>
          </w:tcPr>
          <w:p>
            <w:pPr>
              <w:spacing w:line="240" w:lineRule="auto"/>
              <w:ind w:firstLine="480"/>
              <w:jc w:val="center"/>
              <w:rPr>
                <w:rFonts w:cs="Times New Roman"/>
                <w:color w:val="000000" w:themeColor="text1"/>
                <w:kern w:val="0"/>
                <w:sz w:val="24"/>
                <w:szCs w:val="24"/>
                <w14:textFill>
                  <w14:solidFill>
                    <w14:schemeClr w14:val="tx1"/>
                  </w14:solidFill>
                </w14:textFill>
                <w14:ligatures w14:val="none"/>
              </w:rPr>
            </w:pPr>
          </w:p>
        </w:tc>
        <w:tc>
          <w:tcPr>
            <w:tcW w:w="567"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hint="eastAsia" w:cs="Times New Roman"/>
                <w:color w:val="000000" w:themeColor="text1"/>
                <w:kern w:val="0"/>
                <w:sz w:val="24"/>
                <w:szCs w:val="24"/>
                <w14:textFill>
                  <w14:solidFill>
                    <w14:schemeClr w14:val="tx1"/>
                  </w14:solidFill>
                </w14:textFill>
                <w14:ligatures w14:val="none"/>
              </w:rPr>
              <w:t>6</w:t>
            </w:r>
          </w:p>
        </w:tc>
        <w:tc>
          <w:tcPr>
            <w:tcW w:w="4111" w:type="dxa"/>
            <w:vAlign w:val="center"/>
          </w:tcPr>
          <w:p>
            <w:pPr>
              <w:autoSpaceDN w:val="0"/>
              <w:spacing w:line="240" w:lineRule="auto"/>
              <w:ind w:firstLine="0" w:firstLineChars="0"/>
              <w:textAlignment w:val="center"/>
              <w:rPr>
                <w:rFonts w:cs="Times New Roman"/>
                <w:snapToGrid w:val="0"/>
                <w:color w:val="000000" w:themeColor="text1"/>
                <w:kern w:val="0"/>
                <w:sz w:val="24"/>
                <w:szCs w:val="20"/>
                <w14:textFill>
                  <w14:solidFill>
                    <w14:schemeClr w14:val="tx1"/>
                  </w14:solidFill>
                </w14:textFill>
                <w14:ligatures w14:val="none"/>
              </w:rPr>
            </w:pPr>
            <w:r>
              <w:rPr>
                <w:rFonts w:hint="eastAsia" w:cs="Times New Roman"/>
                <w:snapToGrid w:val="0"/>
                <w:color w:val="000000" w:themeColor="text1"/>
                <w:kern w:val="0"/>
                <w:sz w:val="24"/>
                <w:szCs w:val="20"/>
                <w14:textFill>
                  <w14:solidFill>
                    <w14:schemeClr w14:val="tx1"/>
                  </w14:solidFill>
                </w14:textFill>
                <w14:ligatures w14:val="none"/>
              </w:rPr>
              <w:t>建制村通双车道比例（</w:t>
            </w:r>
            <w:r>
              <w:rPr>
                <w:rFonts w:cs="Times New Roman"/>
                <w:snapToGrid w:val="0"/>
                <w:color w:val="000000" w:themeColor="text1"/>
                <w:kern w:val="0"/>
                <w:sz w:val="24"/>
                <w:szCs w:val="20"/>
                <w14:textFill>
                  <w14:solidFill>
                    <w14:schemeClr w14:val="tx1"/>
                  </w14:solidFill>
                </w14:textFill>
                <w14:ligatures w14:val="none"/>
              </w:rPr>
              <w:t>%</w:t>
            </w:r>
            <w:r>
              <w:rPr>
                <w:rFonts w:hint="eastAsia" w:cs="Times New Roman"/>
                <w:snapToGrid w:val="0"/>
                <w:color w:val="000000" w:themeColor="text1"/>
                <w:kern w:val="0"/>
                <w:sz w:val="24"/>
                <w:szCs w:val="20"/>
                <w14:textFill>
                  <w14:solidFill>
                    <w14:schemeClr w14:val="tx1"/>
                  </w14:solidFill>
                </w14:textFill>
                <w14:ligatures w14:val="none"/>
              </w:rPr>
              <w:t>）</w:t>
            </w:r>
          </w:p>
        </w:tc>
        <w:tc>
          <w:tcPr>
            <w:tcW w:w="992"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rPr>
            </w:pPr>
            <w:r>
              <w:rPr>
                <w:rFonts w:hint="eastAsia" w:cs="Times New Roman"/>
                <w:color w:val="000000" w:themeColor="text1"/>
                <w:kern w:val="0"/>
                <w:sz w:val="24"/>
                <w:szCs w:val="24"/>
                <w14:textFill>
                  <w14:solidFill>
                    <w14:schemeClr w14:val="tx1"/>
                  </w14:solidFill>
                </w14:textFill>
              </w:rPr>
              <w:t>78</w:t>
            </w:r>
          </w:p>
        </w:tc>
        <w:tc>
          <w:tcPr>
            <w:tcW w:w="993"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rPr>
            </w:pPr>
            <w:r>
              <w:rPr>
                <w:rFonts w:hint="eastAsia" w:cs="Times New Roman"/>
                <w:color w:val="000000" w:themeColor="text1"/>
                <w:kern w:val="0"/>
                <w:sz w:val="24"/>
                <w:szCs w:val="24"/>
                <w14:textFill>
                  <w14:solidFill>
                    <w14:schemeClr w14:val="tx1"/>
                  </w14:solidFill>
                </w14:textFill>
              </w:rPr>
              <w:t>80</w:t>
            </w:r>
          </w:p>
        </w:tc>
        <w:tc>
          <w:tcPr>
            <w:tcW w:w="1184"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hint="eastAsia" w:cs="Times New Roman"/>
                <w:color w:val="000000" w:themeColor="text1"/>
                <w:kern w:val="0"/>
                <w:sz w:val="24"/>
                <w:szCs w:val="24"/>
                <w14:textFill>
                  <w14:solidFill>
                    <w14:schemeClr w14:val="tx1"/>
                  </w14:solidFill>
                </w14:textFill>
                <w14:ligatures w14: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5" w:type="dxa"/>
            <w:vMerge w:val="continue"/>
            <w:vAlign w:val="center"/>
          </w:tcPr>
          <w:p>
            <w:pPr>
              <w:spacing w:line="240" w:lineRule="auto"/>
              <w:ind w:firstLine="480"/>
              <w:jc w:val="center"/>
              <w:rPr>
                <w:rFonts w:cs="Times New Roman"/>
                <w:color w:val="000000" w:themeColor="text1"/>
                <w:kern w:val="0"/>
                <w:sz w:val="24"/>
                <w:szCs w:val="24"/>
                <w14:textFill>
                  <w14:solidFill>
                    <w14:schemeClr w14:val="tx1"/>
                  </w14:solidFill>
                </w14:textFill>
                <w14:ligatures w14:val="none"/>
              </w:rPr>
            </w:pPr>
          </w:p>
        </w:tc>
        <w:tc>
          <w:tcPr>
            <w:tcW w:w="567" w:type="dxa"/>
            <w:vMerge w:val="restart"/>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hint="eastAsia" w:cs="Times New Roman"/>
                <w:color w:val="000000" w:themeColor="text1"/>
                <w:kern w:val="0"/>
                <w:sz w:val="24"/>
                <w:szCs w:val="24"/>
                <w14:textFill>
                  <w14:solidFill>
                    <w14:schemeClr w14:val="tx1"/>
                  </w14:solidFill>
                </w14:textFill>
                <w14:ligatures w14:val="none"/>
              </w:rPr>
              <w:t>7</w:t>
            </w:r>
          </w:p>
        </w:tc>
        <w:tc>
          <w:tcPr>
            <w:tcW w:w="4111" w:type="dxa"/>
            <w:vAlign w:val="center"/>
          </w:tcPr>
          <w:p>
            <w:pPr>
              <w:autoSpaceDN w:val="0"/>
              <w:spacing w:line="240" w:lineRule="auto"/>
              <w:ind w:firstLine="0" w:firstLineChars="0"/>
              <w:textAlignment w:val="center"/>
              <w:rPr>
                <w:rFonts w:cs="Times New Roman"/>
                <w:snapToGrid w:val="0"/>
                <w:color w:val="000000" w:themeColor="text1"/>
                <w:kern w:val="0"/>
                <w:sz w:val="24"/>
                <w:szCs w:val="20"/>
                <w14:textFill>
                  <w14:solidFill>
                    <w14:schemeClr w14:val="tx1"/>
                  </w14:solidFill>
                </w14:textFill>
                <w14:ligatures w14:val="none"/>
              </w:rPr>
            </w:pPr>
            <w:r>
              <w:rPr>
                <w:rFonts w:hint="eastAsia" w:cs="Times New Roman"/>
                <w:snapToGrid w:val="0"/>
                <w:color w:val="000000" w:themeColor="text1"/>
                <w:kern w:val="0"/>
                <w:sz w:val="24"/>
                <w:szCs w:val="20"/>
                <w14:textFill>
                  <w14:solidFill>
                    <w14:schemeClr w14:val="tx1"/>
                  </w14:solidFill>
                </w14:textFill>
                <w14:ligatures w14:val="none"/>
              </w:rPr>
              <w:t>普通国道MQI优良路率</w:t>
            </w:r>
          </w:p>
        </w:tc>
        <w:tc>
          <w:tcPr>
            <w:tcW w:w="992"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rPr>
            </w:pPr>
            <w:r>
              <w:rPr>
                <w:rFonts w:cs="Times New Roman"/>
                <w:color w:val="000000" w:themeColor="text1"/>
                <w:kern w:val="0"/>
                <w:sz w:val="24"/>
                <w:szCs w:val="24"/>
                <w14:textFill>
                  <w14:solidFill>
                    <w14:schemeClr w14:val="tx1"/>
                  </w14:solidFill>
                </w14:textFill>
              </w:rPr>
              <w:t>89.98</w:t>
            </w:r>
          </w:p>
        </w:tc>
        <w:tc>
          <w:tcPr>
            <w:tcW w:w="993"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rPr>
            </w:pPr>
            <w:r>
              <w:rPr>
                <w:rFonts w:hint="eastAsia" w:cs="Times New Roman"/>
                <w:color w:val="000000" w:themeColor="text1"/>
                <w:kern w:val="0"/>
                <w:sz w:val="24"/>
                <w:szCs w:val="24"/>
                <w14:textFill>
                  <w14:solidFill>
                    <w14:schemeClr w14:val="tx1"/>
                  </w14:solidFill>
                </w14:textFill>
              </w:rPr>
              <w:t>95</w:t>
            </w:r>
          </w:p>
        </w:tc>
        <w:tc>
          <w:tcPr>
            <w:tcW w:w="1184" w:type="dxa"/>
            <w:vMerge w:val="restart"/>
            <w:vAlign w:val="center"/>
          </w:tcPr>
          <w:p>
            <w:pPr>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hint="eastAsia" w:cs="Times New Roman"/>
                <w:color w:val="000000" w:themeColor="text1"/>
                <w:kern w:val="0"/>
                <w:sz w:val="24"/>
                <w:szCs w:val="24"/>
                <w14:textFill>
                  <w14:solidFill>
                    <w14:schemeClr w14:val="tx1"/>
                  </w14:solidFill>
                </w14:textFill>
                <w14:ligatures w14: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675" w:type="dxa"/>
            <w:vMerge w:val="continue"/>
            <w:vAlign w:val="center"/>
          </w:tcPr>
          <w:p>
            <w:pPr>
              <w:spacing w:line="240" w:lineRule="auto"/>
              <w:ind w:firstLine="480"/>
              <w:jc w:val="center"/>
              <w:rPr>
                <w:rFonts w:cs="Times New Roman"/>
                <w:color w:val="000000" w:themeColor="text1"/>
                <w:kern w:val="0"/>
                <w:sz w:val="24"/>
                <w:szCs w:val="24"/>
                <w14:textFill>
                  <w14:solidFill>
                    <w14:schemeClr w14:val="tx1"/>
                  </w14:solidFill>
                </w14:textFill>
                <w14:ligatures w14:val="none"/>
              </w:rPr>
            </w:pPr>
          </w:p>
        </w:tc>
        <w:tc>
          <w:tcPr>
            <w:tcW w:w="567" w:type="dxa"/>
            <w:vMerge w:val="continue"/>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p>
        </w:tc>
        <w:tc>
          <w:tcPr>
            <w:tcW w:w="4111" w:type="dxa"/>
            <w:vAlign w:val="center"/>
          </w:tcPr>
          <w:p>
            <w:pPr>
              <w:autoSpaceDN w:val="0"/>
              <w:spacing w:line="240" w:lineRule="auto"/>
              <w:ind w:firstLine="0" w:firstLineChars="0"/>
              <w:textAlignment w:val="center"/>
              <w:rPr>
                <w:rFonts w:cs="Times New Roman"/>
                <w:snapToGrid w:val="0"/>
                <w:color w:val="000000" w:themeColor="text1"/>
                <w:kern w:val="0"/>
                <w:sz w:val="24"/>
                <w:szCs w:val="20"/>
                <w14:textFill>
                  <w14:solidFill>
                    <w14:schemeClr w14:val="tx1"/>
                  </w14:solidFill>
                </w14:textFill>
                <w14:ligatures w14:val="none"/>
              </w:rPr>
            </w:pPr>
            <w:r>
              <w:rPr>
                <w:rFonts w:hint="eastAsia" w:cs="Times New Roman"/>
                <w:snapToGrid w:val="0"/>
                <w:color w:val="000000" w:themeColor="text1"/>
                <w:kern w:val="0"/>
                <w:sz w:val="24"/>
                <w:szCs w:val="20"/>
                <w14:textFill>
                  <w14:solidFill>
                    <w14:schemeClr w14:val="tx1"/>
                  </w14:solidFill>
                </w14:textFill>
                <w14:ligatures w14:val="none"/>
              </w:rPr>
              <w:t>普通省道MQI优良路率</w:t>
            </w:r>
          </w:p>
        </w:tc>
        <w:tc>
          <w:tcPr>
            <w:tcW w:w="992"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rPr>
            </w:pPr>
            <w:r>
              <w:rPr>
                <w:rFonts w:cs="Times New Roman"/>
                <w:color w:val="000000" w:themeColor="text1"/>
                <w:kern w:val="0"/>
                <w:sz w:val="24"/>
                <w:szCs w:val="24"/>
                <w14:textFill>
                  <w14:solidFill>
                    <w14:schemeClr w14:val="tx1"/>
                  </w14:solidFill>
                </w14:textFill>
              </w:rPr>
              <w:t>87.91</w:t>
            </w:r>
          </w:p>
        </w:tc>
        <w:tc>
          <w:tcPr>
            <w:tcW w:w="993"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rPr>
            </w:pPr>
            <w:r>
              <w:rPr>
                <w:rFonts w:hint="eastAsia" w:cs="Times New Roman"/>
                <w:color w:val="000000" w:themeColor="text1"/>
                <w:kern w:val="0"/>
                <w:sz w:val="24"/>
                <w:szCs w:val="24"/>
                <w14:textFill>
                  <w14:solidFill>
                    <w14:schemeClr w14:val="tx1"/>
                  </w14:solidFill>
                </w14:textFill>
              </w:rPr>
              <w:t>93</w:t>
            </w:r>
          </w:p>
        </w:tc>
        <w:tc>
          <w:tcPr>
            <w:tcW w:w="1184" w:type="dxa"/>
            <w:vMerge w:val="continue"/>
            <w:vAlign w:val="center"/>
          </w:tcPr>
          <w:p>
            <w:pPr>
              <w:spacing w:line="240" w:lineRule="auto"/>
              <w:ind w:firstLine="480"/>
              <w:jc w:val="center"/>
              <w:rPr>
                <w:rFonts w:cs="Times New Roman"/>
                <w:color w:val="000000" w:themeColor="text1"/>
                <w:kern w:val="0"/>
                <w:sz w:val="24"/>
                <w:szCs w:val="24"/>
                <w14:textFill>
                  <w14:solidFill>
                    <w14:schemeClr w14:val="tx1"/>
                  </w14:solidFill>
                </w14:textFill>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5" w:type="dxa"/>
            <w:vMerge w:val="continue"/>
            <w:vAlign w:val="center"/>
          </w:tcPr>
          <w:p>
            <w:pPr>
              <w:spacing w:line="240" w:lineRule="auto"/>
              <w:ind w:firstLine="480"/>
              <w:jc w:val="center"/>
              <w:rPr>
                <w:rFonts w:cs="Times New Roman"/>
                <w:color w:val="000000" w:themeColor="text1"/>
                <w:kern w:val="0"/>
                <w:sz w:val="24"/>
                <w:szCs w:val="24"/>
                <w14:textFill>
                  <w14:solidFill>
                    <w14:schemeClr w14:val="tx1"/>
                  </w14:solidFill>
                </w14:textFill>
                <w14:ligatures w14:val="none"/>
              </w:rPr>
            </w:pPr>
          </w:p>
        </w:tc>
        <w:tc>
          <w:tcPr>
            <w:tcW w:w="567" w:type="dxa"/>
            <w:vMerge w:val="continue"/>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p>
        </w:tc>
        <w:tc>
          <w:tcPr>
            <w:tcW w:w="4111" w:type="dxa"/>
            <w:vAlign w:val="center"/>
          </w:tcPr>
          <w:p>
            <w:pPr>
              <w:autoSpaceDN w:val="0"/>
              <w:spacing w:line="240" w:lineRule="auto"/>
              <w:ind w:firstLine="0" w:firstLineChars="0"/>
              <w:textAlignment w:val="center"/>
              <w:rPr>
                <w:rFonts w:cs="Times New Roman"/>
                <w:snapToGrid w:val="0"/>
                <w:color w:val="000000" w:themeColor="text1"/>
                <w:kern w:val="0"/>
                <w:sz w:val="24"/>
                <w:szCs w:val="20"/>
                <w14:textFill>
                  <w14:solidFill>
                    <w14:schemeClr w14:val="tx1"/>
                  </w14:solidFill>
                </w14:textFill>
                <w14:ligatures w14:val="none"/>
              </w:rPr>
            </w:pPr>
            <w:r>
              <w:rPr>
                <w:rFonts w:hint="eastAsia" w:cs="Times New Roman"/>
                <w:snapToGrid w:val="0"/>
                <w:color w:val="000000" w:themeColor="text1"/>
                <w:kern w:val="0"/>
                <w:sz w:val="24"/>
                <w:szCs w:val="20"/>
                <w14:textFill>
                  <w14:solidFill>
                    <w14:schemeClr w14:val="tx1"/>
                  </w14:solidFill>
                </w14:textFill>
                <w14:ligatures w14:val="none"/>
              </w:rPr>
              <w:t>农村公路MQI优良路率</w:t>
            </w:r>
          </w:p>
        </w:tc>
        <w:tc>
          <w:tcPr>
            <w:tcW w:w="992"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rPr>
            </w:pPr>
            <w:r>
              <w:rPr>
                <w:rFonts w:hint="eastAsia" w:cs="Times New Roman"/>
                <w:color w:val="000000" w:themeColor="text1"/>
                <w:kern w:val="0"/>
                <w:sz w:val="24"/>
                <w:szCs w:val="24"/>
                <w14:textFill>
                  <w14:solidFill>
                    <w14:schemeClr w14:val="tx1"/>
                  </w14:solidFill>
                </w14:textFill>
              </w:rPr>
              <w:t>68.3</w:t>
            </w:r>
          </w:p>
        </w:tc>
        <w:tc>
          <w:tcPr>
            <w:tcW w:w="993"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rPr>
            </w:pPr>
            <w:r>
              <w:rPr>
                <w:rFonts w:hint="eastAsia" w:cs="Times New Roman"/>
                <w:color w:val="000000" w:themeColor="text1"/>
                <w:kern w:val="0"/>
                <w:sz w:val="24"/>
                <w:szCs w:val="24"/>
                <w14:textFill>
                  <w14:solidFill>
                    <w14:schemeClr w14:val="tx1"/>
                  </w14:solidFill>
                </w14:textFill>
              </w:rPr>
              <w:t>85</w:t>
            </w:r>
          </w:p>
        </w:tc>
        <w:tc>
          <w:tcPr>
            <w:tcW w:w="1184" w:type="dxa"/>
            <w:vMerge w:val="continue"/>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5" w:type="dxa"/>
            <w:vMerge w:val="continue"/>
            <w:noWrap/>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p>
        </w:tc>
        <w:tc>
          <w:tcPr>
            <w:tcW w:w="567"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hint="eastAsia" w:cs="Times New Roman"/>
                <w:color w:val="000000" w:themeColor="text1"/>
                <w:kern w:val="0"/>
                <w:sz w:val="24"/>
                <w:szCs w:val="24"/>
                <w14:textFill>
                  <w14:solidFill>
                    <w14:schemeClr w14:val="tx1"/>
                  </w14:solidFill>
                </w14:textFill>
                <w14:ligatures w14:val="none"/>
              </w:rPr>
              <w:t>8</w:t>
            </w:r>
          </w:p>
        </w:tc>
        <w:tc>
          <w:tcPr>
            <w:tcW w:w="4111" w:type="dxa"/>
            <w:vAlign w:val="center"/>
          </w:tcPr>
          <w:p>
            <w:pPr>
              <w:autoSpaceDN w:val="0"/>
              <w:spacing w:line="240" w:lineRule="auto"/>
              <w:ind w:firstLine="0" w:firstLineChars="0"/>
              <w:textAlignment w:val="center"/>
              <w:rPr>
                <w:rFonts w:cs="Times New Roman"/>
                <w:snapToGrid w:val="0"/>
                <w:color w:val="000000" w:themeColor="text1"/>
                <w:kern w:val="0"/>
                <w:sz w:val="24"/>
                <w:szCs w:val="20"/>
                <w14:textFill>
                  <w14:solidFill>
                    <w14:schemeClr w14:val="tx1"/>
                  </w14:solidFill>
                </w14:textFill>
                <w14:ligatures w14:val="none"/>
              </w:rPr>
            </w:pPr>
            <w:r>
              <w:rPr>
                <w:rFonts w:hint="eastAsia" w:cs="Times New Roman"/>
                <w:snapToGrid w:val="0"/>
                <w:color w:val="000000" w:themeColor="text1"/>
                <w:kern w:val="0"/>
                <w:sz w:val="24"/>
                <w:szCs w:val="20"/>
                <w14:textFill>
                  <w14:solidFill>
                    <w14:schemeClr w14:val="tx1"/>
                  </w14:solidFill>
                </w14:textFill>
                <w14:ligatures w14:val="none"/>
              </w:rPr>
              <w:t>港口</w:t>
            </w:r>
            <w:bookmarkStart w:id="55" w:name="_Hlk205649793"/>
            <w:r>
              <w:rPr>
                <w:rFonts w:hint="eastAsia" w:cs="Times New Roman"/>
                <w:snapToGrid w:val="0"/>
                <w:color w:val="000000" w:themeColor="text1"/>
                <w:kern w:val="0"/>
                <w:sz w:val="24"/>
                <w:szCs w:val="20"/>
                <w14:textFill>
                  <w14:solidFill>
                    <w14:schemeClr w14:val="tx1"/>
                  </w14:solidFill>
                </w14:textFill>
                <w14:ligatures w14:val="none"/>
              </w:rPr>
              <w:t>万吨级以上泊位数</w:t>
            </w:r>
            <w:bookmarkEnd w:id="55"/>
            <w:r>
              <w:rPr>
                <w:rFonts w:hint="eastAsia" w:cs="Times New Roman"/>
                <w:snapToGrid w:val="0"/>
                <w:color w:val="000000" w:themeColor="text1"/>
                <w:kern w:val="0"/>
                <w:sz w:val="24"/>
                <w:szCs w:val="20"/>
                <w14:textFill>
                  <w14:solidFill>
                    <w14:schemeClr w14:val="tx1"/>
                  </w14:solidFill>
                </w14:textFill>
                <w14:ligatures w14:val="none"/>
              </w:rPr>
              <w:t>（个）</w:t>
            </w:r>
          </w:p>
        </w:tc>
        <w:tc>
          <w:tcPr>
            <w:tcW w:w="992"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hint="eastAsia" w:cs="Times New Roman"/>
                <w:color w:val="000000" w:themeColor="text1"/>
                <w:kern w:val="0"/>
                <w:sz w:val="24"/>
                <w:szCs w:val="24"/>
                <w14:textFill>
                  <w14:solidFill>
                    <w14:schemeClr w14:val="tx1"/>
                  </w14:solidFill>
                </w14:textFill>
                <w14:ligatures w14:val="none"/>
              </w:rPr>
              <w:t>63</w:t>
            </w:r>
          </w:p>
        </w:tc>
        <w:tc>
          <w:tcPr>
            <w:tcW w:w="993"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hint="eastAsia" w:cs="Times New Roman"/>
                <w:color w:val="000000" w:themeColor="text1"/>
                <w:kern w:val="0"/>
                <w:sz w:val="24"/>
                <w:szCs w:val="24"/>
                <w14:textFill>
                  <w14:solidFill>
                    <w14:schemeClr w14:val="tx1"/>
                  </w14:solidFill>
                </w14:textFill>
                <w14:ligatures w14:val="none"/>
              </w:rPr>
              <w:t>75</w:t>
            </w:r>
          </w:p>
        </w:tc>
        <w:tc>
          <w:tcPr>
            <w:tcW w:w="1184"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hint="eastAsia" w:cs="Times New Roman"/>
                <w:color w:val="000000" w:themeColor="text1"/>
                <w:kern w:val="0"/>
                <w:sz w:val="24"/>
                <w:szCs w:val="24"/>
                <w14:textFill>
                  <w14:solidFill>
                    <w14:schemeClr w14:val="tx1"/>
                  </w14:solidFill>
                </w14:textFill>
                <w14:ligatures w14:val="none"/>
              </w:rPr>
              <w:t>预期性</w:t>
            </w:r>
            <w:r>
              <w:rPr>
                <w:rFonts w:cs="Times New Roman"/>
                <w:color w:val="000000" w:themeColor="text1"/>
                <w:kern w:val="0"/>
                <w:sz w:val="24"/>
                <w:szCs w:val="24"/>
                <w14:textFill>
                  <w14:solidFill>
                    <w14:schemeClr w14:val="tx1"/>
                  </w14:solidFill>
                </w14:textFill>
                <w14:ligatures w14: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5" w:type="dxa"/>
            <w:vMerge w:val="restart"/>
            <w:noWrap/>
            <w:vAlign w:val="center"/>
          </w:tcPr>
          <w:p>
            <w:pPr>
              <w:widowControl/>
              <w:spacing w:line="240" w:lineRule="auto"/>
              <w:ind w:firstLine="0" w:firstLineChars="0"/>
              <w:jc w:val="center"/>
              <w:rPr>
                <w:rFonts w:cs="Times New Roman"/>
                <w:b/>
                <w:bCs/>
                <w:color w:val="000000" w:themeColor="text1"/>
                <w:kern w:val="0"/>
                <w:sz w:val="24"/>
                <w:szCs w:val="24"/>
                <w14:textFill>
                  <w14:solidFill>
                    <w14:schemeClr w14:val="tx1"/>
                  </w14:solidFill>
                </w14:textFill>
                <w14:ligatures w14:val="none"/>
              </w:rPr>
            </w:pPr>
            <w:r>
              <w:rPr>
                <w:rFonts w:hint="eastAsia" w:cs="Times New Roman"/>
                <w:b/>
                <w:bCs/>
                <w:color w:val="000000" w:themeColor="text1"/>
                <w:kern w:val="0"/>
                <w:sz w:val="24"/>
                <w:szCs w:val="24"/>
                <w14:textFill>
                  <w14:solidFill>
                    <w14:schemeClr w14:val="tx1"/>
                  </w14:solidFill>
                </w14:textFill>
                <w14:ligatures w14:val="none"/>
              </w:rPr>
              <w:t>运</w:t>
            </w:r>
          </w:p>
          <w:p>
            <w:pPr>
              <w:widowControl/>
              <w:spacing w:line="240" w:lineRule="auto"/>
              <w:ind w:firstLine="0" w:firstLineChars="0"/>
              <w:jc w:val="center"/>
              <w:rPr>
                <w:rFonts w:cs="Times New Roman"/>
                <w:b/>
                <w:bCs/>
                <w:color w:val="000000" w:themeColor="text1"/>
                <w:kern w:val="0"/>
                <w:sz w:val="24"/>
                <w:szCs w:val="24"/>
                <w14:textFill>
                  <w14:solidFill>
                    <w14:schemeClr w14:val="tx1"/>
                  </w14:solidFill>
                </w14:textFill>
                <w14:ligatures w14:val="none"/>
              </w:rPr>
            </w:pPr>
            <w:r>
              <w:rPr>
                <w:rFonts w:hint="eastAsia" w:cs="Times New Roman"/>
                <w:b/>
                <w:bCs/>
                <w:color w:val="000000" w:themeColor="text1"/>
                <w:kern w:val="0"/>
                <w:sz w:val="24"/>
                <w:szCs w:val="24"/>
                <w14:textFill>
                  <w14:solidFill>
                    <w14:schemeClr w14:val="tx1"/>
                  </w14:solidFill>
                </w14:textFill>
                <w14:ligatures w14:val="none"/>
              </w:rPr>
              <w:t>输</w:t>
            </w:r>
          </w:p>
          <w:p>
            <w:pPr>
              <w:widowControl/>
              <w:spacing w:line="240" w:lineRule="auto"/>
              <w:ind w:firstLine="0" w:firstLineChars="0"/>
              <w:jc w:val="center"/>
              <w:rPr>
                <w:rFonts w:cs="Times New Roman"/>
                <w:b/>
                <w:bCs/>
                <w:color w:val="000000" w:themeColor="text1"/>
                <w:kern w:val="0"/>
                <w:sz w:val="24"/>
                <w:szCs w:val="24"/>
                <w14:textFill>
                  <w14:solidFill>
                    <w14:schemeClr w14:val="tx1"/>
                  </w14:solidFill>
                </w14:textFill>
                <w14:ligatures w14:val="none"/>
              </w:rPr>
            </w:pPr>
            <w:r>
              <w:rPr>
                <w:rFonts w:hint="eastAsia" w:cs="Times New Roman"/>
                <w:b/>
                <w:bCs/>
                <w:color w:val="000000" w:themeColor="text1"/>
                <w:kern w:val="0"/>
                <w:sz w:val="24"/>
                <w:szCs w:val="24"/>
                <w14:textFill>
                  <w14:solidFill>
                    <w14:schemeClr w14:val="tx1"/>
                  </w14:solidFill>
                </w14:textFill>
                <w14:ligatures w14:val="none"/>
              </w:rPr>
              <w:t>服</w:t>
            </w:r>
          </w:p>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hint="eastAsia" w:cs="Times New Roman"/>
                <w:b/>
                <w:bCs/>
                <w:color w:val="000000" w:themeColor="text1"/>
                <w:kern w:val="0"/>
                <w:sz w:val="24"/>
                <w:szCs w:val="24"/>
                <w14:textFill>
                  <w14:solidFill>
                    <w14:schemeClr w14:val="tx1"/>
                  </w14:solidFill>
                </w14:textFill>
                <w14:ligatures w14:val="none"/>
              </w:rPr>
              <w:t>务</w:t>
            </w:r>
          </w:p>
        </w:tc>
        <w:tc>
          <w:tcPr>
            <w:tcW w:w="567"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cs="Times New Roman"/>
                <w:color w:val="000000" w:themeColor="text1"/>
                <w:kern w:val="0"/>
                <w:sz w:val="24"/>
                <w:szCs w:val="24"/>
                <w14:textFill>
                  <w14:solidFill>
                    <w14:schemeClr w14:val="tx1"/>
                  </w14:solidFill>
                </w14:textFill>
                <w14:ligatures w14:val="none"/>
              </w:rPr>
              <w:t>9</w:t>
            </w:r>
          </w:p>
        </w:tc>
        <w:tc>
          <w:tcPr>
            <w:tcW w:w="4111" w:type="dxa"/>
            <w:vAlign w:val="center"/>
          </w:tcPr>
          <w:p>
            <w:pPr>
              <w:autoSpaceDN w:val="0"/>
              <w:spacing w:line="240" w:lineRule="auto"/>
              <w:ind w:firstLine="0" w:firstLineChars="0"/>
              <w:textAlignment w:val="center"/>
              <w:rPr>
                <w:rFonts w:cs="Times New Roman"/>
                <w:snapToGrid w:val="0"/>
                <w:color w:val="000000" w:themeColor="text1"/>
                <w:kern w:val="0"/>
                <w:sz w:val="24"/>
                <w:szCs w:val="20"/>
                <w14:textFill>
                  <w14:solidFill>
                    <w14:schemeClr w14:val="tx1"/>
                  </w14:solidFill>
                </w14:textFill>
                <w14:ligatures w14:val="none"/>
              </w:rPr>
            </w:pPr>
            <w:r>
              <w:rPr>
                <w:rFonts w:hint="eastAsia" w:cs="Times New Roman"/>
                <w:snapToGrid w:val="0"/>
                <w:color w:val="000000" w:themeColor="text1"/>
                <w:kern w:val="0"/>
                <w:sz w:val="24"/>
                <w:szCs w:val="20"/>
                <w14:textFill>
                  <w14:solidFill>
                    <w14:schemeClr w14:val="tx1"/>
                  </w14:solidFill>
                </w14:textFill>
                <w14:ligatures w14:val="none"/>
              </w:rPr>
              <w:t>港口吞吐量（亿吨）</w:t>
            </w:r>
          </w:p>
        </w:tc>
        <w:tc>
          <w:tcPr>
            <w:tcW w:w="992"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hint="eastAsia" w:cs="Times New Roman"/>
                <w:color w:val="000000" w:themeColor="text1"/>
                <w:kern w:val="0"/>
                <w:sz w:val="24"/>
                <w:szCs w:val="24"/>
                <w14:textFill>
                  <w14:solidFill>
                    <w14:schemeClr w14:val="tx1"/>
                  </w14:solidFill>
                </w14:textFill>
                <w14:ligatures w14:val="none"/>
              </w:rPr>
              <w:t>2.23</w:t>
            </w:r>
          </w:p>
        </w:tc>
        <w:tc>
          <w:tcPr>
            <w:tcW w:w="993"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hint="eastAsia" w:cs="Times New Roman"/>
                <w:color w:val="000000" w:themeColor="text1"/>
                <w:kern w:val="0"/>
                <w:sz w:val="24"/>
                <w:szCs w:val="24"/>
                <w14:textFill>
                  <w14:solidFill>
                    <w14:schemeClr w14:val="tx1"/>
                  </w14:solidFill>
                </w14:textFill>
                <w14:ligatures w14:val="none"/>
              </w:rPr>
              <w:t>2.85</w:t>
            </w:r>
          </w:p>
        </w:tc>
        <w:tc>
          <w:tcPr>
            <w:tcW w:w="1184"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hint="eastAsia" w:cs="Times New Roman"/>
                <w:color w:val="000000" w:themeColor="text1"/>
                <w:kern w:val="0"/>
                <w:sz w:val="24"/>
                <w:szCs w:val="24"/>
                <w14:textFill>
                  <w14:solidFill>
                    <w14:schemeClr w14:val="tx1"/>
                  </w14:solidFill>
                </w14:textFill>
                <w14:ligatures w14: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5" w:type="dxa"/>
            <w:vMerge w:val="continue"/>
            <w:noWrap/>
            <w:vAlign w:val="center"/>
          </w:tcPr>
          <w:p>
            <w:pPr>
              <w:widowControl/>
              <w:spacing w:line="240" w:lineRule="auto"/>
              <w:ind w:firstLine="0" w:firstLineChars="0"/>
              <w:jc w:val="center"/>
              <w:rPr>
                <w:rFonts w:cs="Times New Roman"/>
                <w:b/>
                <w:bCs/>
                <w:color w:val="000000" w:themeColor="text1"/>
                <w:kern w:val="0"/>
                <w:sz w:val="24"/>
                <w:szCs w:val="24"/>
                <w14:textFill>
                  <w14:solidFill>
                    <w14:schemeClr w14:val="tx1"/>
                  </w14:solidFill>
                </w14:textFill>
                <w14:ligatures w14:val="none"/>
              </w:rPr>
            </w:pPr>
          </w:p>
        </w:tc>
        <w:tc>
          <w:tcPr>
            <w:tcW w:w="567"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cs="Times New Roman"/>
                <w:color w:val="000000" w:themeColor="text1"/>
                <w:kern w:val="0"/>
                <w:sz w:val="24"/>
                <w:szCs w:val="24"/>
                <w14:textFill>
                  <w14:solidFill>
                    <w14:schemeClr w14:val="tx1"/>
                  </w14:solidFill>
                </w14:textFill>
                <w14:ligatures w14:val="none"/>
              </w:rPr>
              <w:t>10</w:t>
            </w:r>
          </w:p>
        </w:tc>
        <w:tc>
          <w:tcPr>
            <w:tcW w:w="4111" w:type="dxa"/>
            <w:vAlign w:val="center"/>
          </w:tcPr>
          <w:p>
            <w:pPr>
              <w:autoSpaceDN w:val="0"/>
              <w:spacing w:line="240" w:lineRule="auto"/>
              <w:ind w:firstLine="0" w:firstLineChars="0"/>
              <w:textAlignment w:val="center"/>
              <w:rPr>
                <w:rFonts w:cs="Times New Roman"/>
                <w:snapToGrid w:val="0"/>
                <w:color w:val="000000" w:themeColor="text1"/>
                <w:kern w:val="0"/>
                <w:sz w:val="24"/>
                <w:szCs w:val="20"/>
                <w14:textFill>
                  <w14:solidFill>
                    <w14:schemeClr w14:val="tx1"/>
                  </w14:solidFill>
                </w14:textFill>
                <w14:ligatures w14:val="none"/>
              </w:rPr>
            </w:pPr>
            <w:r>
              <w:rPr>
                <w:rFonts w:hint="eastAsia" w:cs="Times New Roman"/>
                <w:snapToGrid w:val="0"/>
                <w:color w:val="000000" w:themeColor="text1"/>
                <w:kern w:val="0"/>
                <w:sz w:val="24"/>
                <w:szCs w:val="20"/>
                <w14:textFill>
                  <w14:solidFill>
                    <w14:schemeClr w14:val="tx1"/>
                  </w14:solidFill>
                </w14:textFill>
                <w14:ligatures w14:val="none"/>
              </w:rPr>
              <w:t>集装箱吞吐量（万标准箱）</w:t>
            </w:r>
          </w:p>
        </w:tc>
        <w:tc>
          <w:tcPr>
            <w:tcW w:w="992"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hint="eastAsia" w:cs="Times New Roman"/>
                <w:color w:val="000000" w:themeColor="text1"/>
                <w:kern w:val="0"/>
                <w:sz w:val="24"/>
                <w:szCs w:val="24"/>
                <w14:textFill>
                  <w14:solidFill>
                    <w14:schemeClr w14:val="tx1"/>
                  </w14:solidFill>
                </w14:textFill>
                <w14:ligatures w14:val="none"/>
              </w:rPr>
              <w:t>585</w:t>
            </w:r>
          </w:p>
        </w:tc>
        <w:tc>
          <w:tcPr>
            <w:tcW w:w="993"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hint="eastAsia" w:cs="Times New Roman"/>
                <w:color w:val="000000" w:themeColor="text1"/>
                <w:kern w:val="0"/>
                <w:sz w:val="24"/>
                <w:szCs w:val="24"/>
                <w14:textFill>
                  <w14:solidFill>
                    <w14:schemeClr w14:val="tx1"/>
                  </w14:solidFill>
                </w14:textFill>
                <w14:ligatures w14:val="none"/>
              </w:rPr>
              <w:t>670</w:t>
            </w:r>
          </w:p>
        </w:tc>
        <w:tc>
          <w:tcPr>
            <w:tcW w:w="1184"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hint="eastAsia" w:cs="Times New Roman"/>
                <w:color w:val="000000" w:themeColor="text1"/>
                <w:kern w:val="0"/>
                <w:sz w:val="24"/>
                <w:szCs w:val="24"/>
                <w14:textFill>
                  <w14:solidFill>
                    <w14:schemeClr w14:val="tx1"/>
                  </w14:solidFill>
                </w14:textFill>
                <w14:ligatures w14: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5" w:type="dxa"/>
            <w:vMerge w:val="continue"/>
            <w:noWrap/>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p>
        </w:tc>
        <w:tc>
          <w:tcPr>
            <w:tcW w:w="567"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cs="Times New Roman"/>
                <w:color w:val="000000" w:themeColor="text1"/>
                <w:kern w:val="0"/>
                <w:sz w:val="24"/>
                <w:szCs w:val="24"/>
                <w14:textFill>
                  <w14:solidFill>
                    <w14:schemeClr w14:val="tx1"/>
                  </w14:solidFill>
                </w14:textFill>
                <w14:ligatures w14:val="none"/>
              </w:rPr>
              <w:t>1</w:t>
            </w:r>
            <w:r>
              <w:rPr>
                <w:rFonts w:hint="eastAsia" w:cs="Times New Roman"/>
                <w:color w:val="000000" w:themeColor="text1"/>
                <w:kern w:val="0"/>
                <w:sz w:val="24"/>
                <w:szCs w:val="24"/>
                <w14:textFill>
                  <w14:solidFill>
                    <w14:schemeClr w14:val="tx1"/>
                  </w14:solidFill>
                </w14:textFill>
                <w14:ligatures w14:val="none"/>
              </w:rPr>
              <w:t>1</w:t>
            </w:r>
          </w:p>
        </w:tc>
        <w:tc>
          <w:tcPr>
            <w:tcW w:w="4111" w:type="dxa"/>
            <w:vAlign w:val="center"/>
          </w:tcPr>
          <w:p>
            <w:pPr>
              <w:autoSpaceDN w:val="0"/>
              <w:spacing w:line="240" w:lineRule="auto"/>
              <w:ind w:firstLine="0" w:firstLineChars="0"/>
              <w:textAlignment w:val="center"/>
              <w:rPr>
                <w:rFonts w:cs="Times New Roman"/>
                <w:snapToGrid w:val="0"/>
                <w:color w:val="000000" w:themeColor="text1"/>
                <w:kern w:val="0"/>
                <w:sz w:val="24"/>
                <w:szCs w:val="20"/>
                <w14:textFill>
                  <w14:solidFill>
                    <w14:schemeClr w14:val="tx1"/>
                  </w14:solidFill>
                </w14:textFill>
                <w14:ligatures w14:val="none"/>
              </w:rPr>
            </w:pPr>
            <w:r>
              <w:rPr>
                <w:rFonts w:hint="eastAsia" w:cs="Times New Roman"/>
                <w:snapToGrid w:val="0"/>
                <w:color w:val="000000" w:themeColor="text1"/>
                <w:kern w:val="0"/>
                <w:sz w:val="24"/>
                <w:szCs w:val="20"/>
                <w14:textFill>
                  <w14:solidFill>
                    <w14:schemeClr w14:val="tx1"/>
                  </w14:solidFill>
                </w14:textFill>
                <w14:ligatures w14:val="none"/>
              </w:rPr>
              <w:t>集装箱海铁联运量（万标准箱）</w:t>
            </w:r>
          </w:p>
        </w:tc>
        <w:tc>
          <w:tcPr>
            <w:tcW w:w="992"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hint="eastAsia" w:cs="Times New Roman"/>
                <w:color w:val="000000" w:themeColor="text1"/>
                <w:kern w:val="0"/>
                <w:sz w:val="24"/>
                <w:szCs w:val="24"/>
                <w14:textFill>
                  <w14:solidFill>
                    <w14:schemeClr w14:val="tx1"/>
                  </w14:solidFill>
                </w14:textFill>
                <w14:ligatures w14:val="none"/>
              </w:rPr>
              <w:t>91.6</w:t>
            </w:r>
          </w:p>
        </w:tc>
        <w:tc>
          <w:tcPr>
            <w:tcW w:w="993"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hint="eastAsia" w:cs="Times New Roman"/>
                <w:color w:val="000000" w:themeColor="text1"/>
                <w:kern w:val="0"/>
                <w:sz w:val="24"/>
                <w:szCs w:val="24"/>
                <w14:textFill>
                  <w14:solidFill>
                    <w14:schemeClr w14:val="tx1"/>
                  </w14:solidFill>
                </w14:textFill>
                <w14:ligatures w14:val="none"/>
              </w:rPr>
              <w:t>120</w:t>
            </w:r>
          </w:p>
        </w:tc>
        <w:tc>
          <w:tcPr>
            <w:tcW w:w="1184"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hint="eastAsia" w:cs="Times New Roman"/>
                <w:color w:val="000000" w:themeColor="text1"/>
                <w:kern w:val="0"/>
                <w:sz w:val="24"/>
                <w:szCs w:val="24"/>
                <w14:textFill>
                  <w14:solidFill>
                    <w14:schemeClr w14:val="tx1"/>
                  </w14:solidFill>
                </w14:textFill>
                <w14:ligatures w14: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5" w:type="dxa"/>
            <w:vMerge w:val="continue"/>
            <w:noWrap/>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p>
        </w:tc>
        <w:tc>
          <w:tcPr>
            <w:tcW w:w="567"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cs="Times New Roman"/>
                <w:color w:val="000000" w:themeColor="text1"/>
                <w:kern w:val="0"/>
                <w:sz w:val="24"/>
                <w:szCs w:val="24"/>
                <w14:textFill>
                  <w14:solidFill>
                    <w14:schemeClr w14:val="tx1"/>
                  </w14:solidFill>
                </w14:textFill>
                <w14:ligatures w14:val="none"/>
              </w:rPr>
              <w:t>12</w:t>
            </w:r>
          </w:p>
        </w:tc>
        <w:tc>
          <w:tcPr>
            <w:tcW w:w="4111" w:type="dxa"/>
            <w:vAlign w:val="center"/>
          </w:tcPr>
          <w:p>
            <w:pPr>
              <w:autoSpaceDN w:val="0"/>
              <w:spacing w:line="240" w:lineRule="auto"/>
              <w:ind w:firstLine="0" w:firstLineChars="0"/>
              <w:textAlignment w:val="center"/>
              <w:rPr>
                <w:rFonts w:cs="Times New Roman"/>
                <w:snapToGrid w:val="0"/>
                <w:color w:val="000000" w:themeColor="text1"/>
                <w:kern w:val="0"/>
                <w:sz w:val="24"/>
                <w:szCs w:val="20"/>
                <w14:textFill>
                  <w14:solidFill>
                    <w14:schemeClr w14:val="tx1"/>
                  </w14:solidFill>
                </w14:textFill>
                <w14:ligatures w14:val="none"/>
              </w:rPr>
            </w:pPr>
            <w:r>
              <w:rPr>
                <w:rFonts w:cs="Times New Roman"/>
                <w:snapToGrid w:val="0"/>
                <w:color w:val="000000" w:themeColor="text1"/>
                <w:kern w:val="0"/>
                <w:sz w:val="24"/>
                <w:szCs w:val="20"/>
                <w14:textFill>
                  <w14:solidFill>
                    <w14:schemeClr w14:val="tx1"/>
                  </w14:solidFill>
                </w14:textFill>
                <w14:ligatures w14:val="none"/>
              </w:rPr>
              <w:t>海铁联运</w:t>
            </w:r>
            <w:r>
              <w:rPr>
                <w:rFonts w:hint="eastAsia" w:cs="Times New Roman"/>
                <w:snapToGrid w:val="0"/>
                <w:color w:val="000000" w:themeColor="text1"/>
                <w:kern w:val="0"/>
                <w:sz w:val="24"/>
                <w:szCs w:val="20"/>
                <w14:textFill>
                  <w14:solidFill>
                    <w14:schemeClr w14:val="tx1"/>
                  </w14:solidFill>
                </w14:textFill>
                <w14:ligatures w14:val="none"/>
              </w:rPr>
              <w:t>“</w:t>
            </w:r>
            <w:r>
              <w:rPr>
                <w:rFonts w:cs="Times New Roman"/>
                <w:snapToGrid w:val="0"/>
                <w:color w:val="000000" w:themeColor="text1"/>
                <w:kern w:val="0"/>
                <w:sz w:val="24"/>
                <w:szCs w:val="20"/>
                <w14:textFill>
                  <w14:solidFill>
                    <w14:schemeClr w14:val="tx1"/>
                  </w14:solidFill>
                </w14:textFill>
                <w14:ligatures w14:val="none"/>
              </w:rPr>
              <w:t>一单制</w:t>
            </w:r>
            <w:r>
              <w:rPr>
                <w:rFonts w:hint="eastAsia" w:cs="Times New Roman"/>
                <w:snapToGrid w:val="0"/>
                <w:color w:val="000000" w:themeColor="text1"/>
                <w:kern w:val="0"/>
                <w:sz w:val="24"/>
                <w:szCs w:val="20"/>
                <w14:textFill>
                  <w14:solidFill>
                    <w14:schemeClr w14:val="tx1"/>
                  </w14:solidFill>
                </w14:textFill>
                <w14:ligatures w14:val="none"/>
              </w:rPr>
              <w:t>”</w:t>
            </w:r>
            <w:r>
              <w:rPr>
                <w:rFonts w:cs="Times New Roman"/>
                <w:snapToGrid w:val="0"/>
                <w:color w:val="000000" w:themeColor="text1"/>
                <w:kern w:val="0"/>
                <w:sz w:val="24"/>
                <w:szCs w:val="20"/>
                <w14:textFill>
                  <w14:solidFill>
                    <w14:schemeClr w14:val="tx1"/>
                  </w14:solidFill>
                </w14:textFill>
                <w14:ligatures w14:val="none"/>
              </w:rPr>
              <w:t>箱量</w:t>
            </w:r>
            <w:r>
              <w:rPr>
                <w:rFonts w:hint="eastAsia" w:cs="Times New Roman"/>
                <w:snapToGrid w:val="0"/>
                <w:color w:val="000000" w:themeColor="text1"/>
                <w:kern w:val="0"/>
                <w:sz w:val="24"/>
                <w:szCs w:val="20"/>
                <w14:textFill>
                  <w14:solidFill>
                    <w14:schemeClr w14:val="tx1"/>
                  </w14:solidFill>
                </w14:textFill>
                <w14:ligatures w14:val="none"/>
              </w:rPr>
              <w:t>（</w:t>
            </w:r>
            <w:r>
              <w:rPr>
                <w:rFonts w:cs="Times New Roman"/>
                <w:snapToGrid w:val="0"/>
                <w:color w:val="000000" w:themeColor="text1"/>
                <w:kern w:val="0"/>
                <w:sz w:val="24"/>
                <w:szCs w:val="20"/>
                <w14:textFill>
                  <w14:solidFill>
                    <w14:schemeClr w14:val="tx1"/>
                  </w14:solidFill>
                </w14:textFill>
                <w14:ligatures w14:val="none"/>
              </w:rPr>
              <w:t>标箱</w:t>
            </w:r>
            <w:r>
              <w:rPr>
                <w:rFonts w:hint="eastAsia" w:cs="Times New Roman"/>
                <w:snapToGrid w:val="0"/>
                <w:color w:val="000000" w:themeColor="text1"/>
                <w:kern w:val="0"/>
                <w:sz w:val="24"/>
                <w:szCs w:val="20"/>
                <w14:textFill>
                  <w14:solidFill>
                    <w14:schemeClr w14:val="tx1"/>
                  </w14:solidFill>
                </w14:textFill>
                <w14:ligatures w14:val="none"/>
              </w:rPr>
              <w:t>）</w:t>
            </w:r>
          </w:p>
        </w:tc>
        <w:tc>
          <w:tcPr>
            <w:tcW w:w="992"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hint="eastAsia" w:cs="Times New Roman"/>
                <w:color w:val="000000" w:themeColor="text1"/>
                <w:kern w:val="0"/>
                <w:sz w:val="24"/>
                <w:szCs w:val="24"/>
                <w14:textFill>
                  <w14:solidFill>
                    <w14:schemeClr w14:val="tx1"/>
                  </w14:solidFill>
                </w14:textFill>
                <w14:ligatures w14:val="none"/>
              </w:rPr>
              <w:t>2080</w:t>
            </w:r>
          </w:p>
        </w:tc>
        <w:tc>
          <w:tcPr>
            <w:tcW w:w="993"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hint="eastAsia" w:cs="Times New Roman"/>
                <w:color w:val="000000" w:themeColor="text1"/>
                <w:kern w:val="0"/>
                <w:sz w:val="24"/>
                <w:szCs w:val="24"/>
                <w14:textFill>
                  <w14:solidFill>
                    <w14:schemeClr w14:val="tx1"/>
                  </w14:solidFill>
                </w14:textFill>
                <w14:ligatures w14:val="none"/>
              </w:rPr>
              <w:t>2700</w:t>
            </w:r>
          </w:p>
        </w:tc>
        <w:tc>
          <w:tcPr>
            <w:tcW w:w="1184"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hint="eastAsia" w:cs="Times New Roman"/>
                <w:color w:val="000000" w:themeColor="text1"/>
                <w:kern w:val="0"/>
                <w:sz w:val="24"/>
                <w:szCs w:val="24"/>
                <w14:textFill>
                  <w14:solidFill>
                    <w14:schemeClr w14:val="tx1"/>
                  </w14:solidFill>
                </w14:textFill>
                <w14:ligatures w14:val="none"/>
              </w:rPr>
              <w:t>预期性</w:t>
            </w:r>
            <w:r>
              <w:rPr>
                <w:rFonts w:cs="Times New Roman"/>
                <w:color w:val="000000" w:themeColor="text1"/>
                <w:kern w:val="0"/>
                <w:sz w:val="24"/>
                <w:szCs w:val="24"/>
                <w14:textFill>
                  <w14:solidFill>
                    <w14:schemeClr w14:val="tx1"/>
                  </w14:solidFill>
                </w14:textFill>
                <w14:ligatures w14: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5" w:type="dxa"/>
            <w:vMerge w:val="continue"/>
            <w:noWrap/>
            <w:vAlign w:val="center"/>
          </w:tcPr>
          <w:p>
            <w:pPr>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p>
        </w:tc>
        <w:tc>
          <w:tcPr>
            <w:tcW w:w="567"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cs="Times New Roman"/>
                <w:snapToGrid w:val="0"/>
                <w:color w:val="000000" w:themeColor="text1"/>
                <w:kern w:val="0"/>
                <w:sz w:val="24"/>
                <w:szCs w:val="20"/>
                <w14:textFill>
                  <w14:solidFill>
                    <w14:schemeClr w14:val="tx1"/>
                  </w14:solidFill>
                </w14:textFill>
                <w14:ligatures w14:val="none"/>
              </w:rPr>
              <w:t>13</w:t>
            </w:r>
          </w:p>
        </w:tc>
        <w:tc>
          <w:tcPr>
            <w:tcW w:w="4111" w:type="dxa"/>
            <w:vAlign w:val="center"/>
          </w:tcPr>
          <w:p>
            <w:pPr>
              <w:autoSpaceDN w:val="0"/>
              <w:spacing w:line="240" w:lineRule="auto"/>
              <w:ind w:firstLine="0" w:firstLineChars="0"/>
              <w:textAlignment w:val="center"/>
              <w:rPr>
                <w:rFonts w:cs="Times New Roman"/>
                <w:snapToGrid w:val="0"/>
                <w:color w:val="000000" w:themeColor="text1"/>
                <w:kern w:val="0"/>
                <w:sz w:val="24"/>
                <w:szCs w:val="20"/>
                <w14:textFill>
                  <w14:solidFill>
                    <w14:schemeClr w14:val="tx1"/>
                  </w14:solidFill>
                </w14:textFill>
                <w14:ligatures w14:val="none"/>
              </w:rPr>
            </w:pPr>
            <w:r>
              <w:rPr>
                <w:rFonts w:hint="eastAsia" w:cs="Times New Roman"/>
                <w:snapToGrid w:val="0"/>
                <w:color w:val="000000" w:themeColor="text1"/>
                <w:kern w:val="0"/>
                <w:sz w:val="24"/>
                <w:szCs w:val="20"/>
                <w14:textFill>
                  <w14:solidFill>
                    <w14:schemeClr w14:val="tx1"/>
                  </w14:solidFill>
                </w14:textFill>
                <w14:ligatures w14:val="none"/>
              </w:rPr>
              <w:t>定制客运线路数量</w:t>
            </w:r>
          </w:p>
        </w:tc>
        <w:tc>
          <w:tcPr>
            <w:tcW w:w="992"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hint="eastAsia" w:cs="Times New Roman"/>
                <w:color w:val="000000" w:themeColor="text1"/>
                <w:kern w:val="0"/>
                <w:sz w:val="24"/>
                <w:szCs w:val="24"/>
                <w14:textFill>
                  <w14:solidFill>
                    <w14:schemeClr w14:val="tx1"/>
                  </w14:solidFill>
                </w14:textFill>
                <w14:ligatures w14:val="none"/>
              </w:rPr>
              <w:t>8</w:t>
            </w:r>
          </w:p>
        </w:tc>
        <w:tc>
          <w:tcPr>
            <w:tcW w:w="993"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hint="eastAsia" w:cs="Times New Roman"/>
                <w:color w:val="000000" w:themeColor="text1"/>
                <w:kern w:val="0"/>
                <w:sz w:val="24"/>
                <w:szCs w:val="24"/>
                <w14:textFill>
                  <w14:solidFill>
                    <w14:schemeClr w14:val="tx1"/>
                  </w14:solidFill>
                </w14:textFill>
                <w14:ligatures w14:val="none"/>
              </w:rPr>
              <w:t>10</w:t>
            </w:r>
          </w:p>
        </w:tc>
        <w:tc>
          <w:tcPr>
            <w:tcW w:w="1184"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hint="eastAsia" w:cs="Times New Roman"/>
                <w:color w:val="000000" w:themeColor="text1"/>
                <w:kern w:val="0"/>
                <w:sz w:val="24"/>
                <w:szCs w:val="24"/>
                <w14:textFill>
                  <w14:solidFill>
                    <w14:schemeClr w14:val="tx1"/>
                  </w14:solidFill>
                </w14:textFill>
                <w14:ligatures w14: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5" w:type="dxa"/>
            <w:vMerge w:val="continue"/>
            <w:noWrap/>
            <w:vAlign w:val="center"/>
          </w:tcPr>
          <w:p>
            <w:pPr>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p>
        </w:tc>
        <w:tc>
          <w:tcPr>
            <w:tcW w:w="567" w:type="dxa"/>
            <w:vAlign w:val="center"/>
          </w:tcPr>
          <w:p>
            <w:pPr>
              <w:widowControl/>
              <w:spacing w:line="240" w:lineRule="auto"/>
              <w:ind w:firstLine="0" w:firstLineChars="0"/>
              <w:jc w:val="center"/>
              <w:rPr>
                <w:rFonts w:cs="Times New Roman"/>
                <w:snapToGrid w:val="0"/>
                <w:color w:val="000000" w:themeColor="text1"/>
                <w:kern w:val="0"/>
                <w:sz w:val="24"/>
                <w:szCs w:val="20"/>
                <w14:textFill>
                  <w14:solidFill>
                    <w14:schemeClr w14:val="tx1"/>
                  </w14:solidFill>
                </w14:textFill>
                <w14:ligatures w14:val="none"/>
              </w:rPr>
            </w:pPr>
            <w:r>
              <w:rPr>
                <w:rFonts w:cs="Times New Roman"/>
                <w:snapToGrid w:val="0"/>
                <w:color w:val="000000" w:themeColor="text1"/>
                <w:kern w:val="0"/>
                <w:sz w:val="24"/>
                <w:szCs w:val="20"/>
                <w14:textFill>
                  <w14:solidFill>
                    <w14:schemeClr w14:val="tx1"/>
                  </w14:solidFill>
                </w14:textFill>
                <w14:ligatures w14:val="none"/>
              </w:rPr>
              <w:t>14</w:t>
            </w:r>
          </w:p>
        </w:tc>
        <w:tc>
          <w:tcPr>
            <w:tcW w:w="4111" w:type="dxa"/>
            <w:vAlign w:val="center"/>
          </w:tcPr>
          <w:p>
            <w:pPr>
              <w:autoSpaceDN w:val="0"/>
              <w:spacing w:line="240" w:lineRule="auto"/>
              <w:ind w:firstLine="0" w:firstLineChars="0"/>
              <w:textAlignment w:val="center"/>
              <w:rPr>
                <w:rFonts w:cs="Times New Roman"/>
                <w:snapToGrid w:val="0"/>
                <w:color w:val="000000" w:themeColor="text1"/>
                <w:kern w:val="0"/>
                <w:sz w:val="24"/>
                <w:szCs w:val="20"/>
                <w14:textFill>
                  <w14:solidFill>
                    <w14:schemeClr w14:val="tx1"/>
                  </w14:solidFill>
                </w14:textFill>
                <w14:ligatures w14:val="none"/>
              </w:rPr>
            </w:pPr>
            <w:r>
              <w:rPr>
                <w:rFonts w:cs="Times New Roman"/>
                <w:snapToGrid w:val="0"/>
                <w:color w:val="000000" w:themeColor="text1"/>
                <w:kern w:val="0"/>
                <w:sz w:val="24"/>
                <w:szCs w:val="20"/>
                <w14:textFill>
                  <w14:solidFill>
                    <w14:schemeClr w14:val="tx1"/>
                  </w14:solidFill>
                </w14:textFill>
                <w14:ligatures w14:val="none"/>
              </w:rPr>
              <w:t>农村客货邮合作线路数量</w:t>
            </w:r>
            <w:r>
              <w:rPr>
                <w:rFonts w:hint="eastAsia" w:cs="Times New Roman"/>
                <w:snapToGrid w:val="0"/>
                <w:color w:val="000000" w:themeColor="text1"/>
                <w:kern w:val="0"/>
                <w:sz w:val="24"/>
                <w:szCs w:val="20"/>
                <w14:textFill>
                  <w14:solidFill>
                    <w14:schemeClr w14:val="tx1"/>
                  </w14:solidFill>
                </w14:textFill>
                <w14:ligatures w14:val="none"/>
              </w:rPr>
              <w:t>（条）</w:t>
            </w:r>
          </w:p>
        </w:tc>
        <w:tc>
          <w:tcPr>
            <w:tcW w:w="992"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hint="eastAsia" w:cs="Times New Roman"/>
                <w:color w:val="000000" w:themeColor="text1"/>
                <w:kern w:val="0"/>
                <w:sz w:val="24"/>
                <w:szCs w:val="24"/>
                <w14:textFill>
                  <w14:solidFill>
                    <w14:schemeClr w14:val="tx1"/>
                  </w14:solidFill>
                </w14:textFill>
                <w14:ligatures w14:val="none"/>
              </w:rPr>
              <w:t>7</w:t>
            </w:r>
          </w:p>
        </w:tc>
        <w:tc>
          <w:tcPr>
            <w:tcW w:w="993"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hint="eastAsia" w:cs="Times New Roman"/>
                <w:color w:val="000000" w:themeColor="text1"/>
                <w:kern w:val="0"/>
                <w:sz w:val="24"/>
                <w:szCs w:val="24"/>
                <w14:textFill>
                  <w14:solidFill>
                    <w14:schemeClr w14:val="tx1"/>
                  </w14:solidFill>
                </w14:textFill>
                <w14:ligatures w14:val="none"/>
              </w:rPr>
              <w:t>16</w:t>
            </w:r>
          </w:p>
        </w:tc>
        <w:tc>
          <w:tcPr>
            <w:tcW w:w="1184"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hint="eastAsia" w:cs="Times New Roman"/>
                <w:color w:val="000000" w:themeColor="text1"/>
                <w:kern w:val="0"/>
                <w:sz w:val="24"/>
                <w:szCs w:val="24"/>
                <w14:textFill>
                  <w14:solidFill>
                    <w14:schemeClr w14:val="tx1"/>
                  </w14:solidFill>
                </w14:textFill>
                <w14:ligatures w14:val="none"/>
              </w:rPr>
              <w:t>预期性</w:t>
            </w:r>
            <w:r>
              <w:rPr>
                <w:rFonts w:cs="Times New Roman"/>
                <w:color w:val="000000" w:themeColor="text1"/>
                <w:kern w:val="0"/>
                <w:sz w:val="24"/>
                <w:szCs w:val="24"/>
                <w14:textFill>
                  <w14:solidFill>
                    <w14:schemeClr w14:val="tx1"/>
                  </w14:solidFill>
                </w14:textFill>
                <w14:ligatures w14: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5" w:type="dxa"/>
            <w:vMerge w:val="continue"/>
            <w:noWrap/>
            <w:vAlign w:val="center"/>
          </w:tcPr>
          <w:p>
            <w:pPr>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p>
        </w:tc>
        <w:tc>
          <w:tcPr>
            <w:tcW w:w="567" w:type="dxa"/>
            <w:vAlign w:val="center"/>
          </w:tcPr>
          <w:p>
            <w:pPr>
              <w:widowControl/>
              <w:spacing w:line="240" w:lineRule="auto"/>
              <w:ind w:firstLine="0" w:firstLineChars="0"/>
              <w:jc w:val="center"/>
              <w:rPr>
                <w:rFonts w:cs="Times New Roman"/>
                <w:snapToGrid w:val="0"/>
                <w:color w:val="000000" w:themeColor="text1"/>
                <w:kern w:val="0"/>
                <w:sz w:val="24"/>
                <w:szCs w:val="20"/>
                <w14:textFill>
                  <w14:solidFill>
                    <w14:schemeClr w14:val="tx1"/>
                  </w14:solidFill>
                </w14:textFill>
                <w14:ligatures w14:val="none"/>
              </w:rPr>
            </w:pPr>
            <w:r>
              <w:rPr>
                <w:rFonts w:cs="Times New Roman"/>
                <w:snapToGrid w:val="0"/>
                <w:color w:val="000000" w:themeColor="text1"/>
                <w:kern w:val="0"/>
                <w:sz w:val="24"/>
                <w:szCs w:val="20"/>
                <w14:textFill>
                  <w14:solidFill>
                    <w14:schemeClr w14:val="tx1"/>
                  </w14:solidFill>
                </w14:textFill>
                <w14:ligatures w14:val="none"/>
              </w:rPr>
              <w:t>1</w:t>
            </w:r>
            <w:r>
              <w:rPr>
                <w:rFonts w:hint="eastAsia" w:cs="Times New Roman"/>
                <w:snapToGrid w:val="0"/>
                <w:color w:val="000000" w:themeColor="text1"/>
                <w:kern w:val="0"/>
                <w:sz w:val="24"/>
                <w:szCs w:val="20"/>
                <w14:textFill>
                  <w14:solidFill>
                    <w14:schemeClr w14:val="tx1"/>
                  </w14:solidFill>
                </w14:textFill>
                <w14:ligatures w14:val="none"/>
              </w:rPr>
              <w:t>5</w:t>
            </w:r>
          </w:p>
        </w:tc>
        <w:tc>
          <w:tcPr>
            <w:tcW w:w="4111" w:type="dxa"/>
            <w:vAlign w:val="center"/>
          </w:tcPr>
          <w:p>
            <w:pPr>
              <w:autoSpaceDN w:val="0"/>
              <w:spacing w:line="240" w:lineRule="auto"/>
              <w:ind w:firstLine="0" w:firstLineChars="0"/>
              <w:textAlignment w:val="center"/>
              <w:rPr>
                <w:rFonts w:cs="Times New Roman"/>
                <w:snapToGrid w:val="0"/>
                <w:color w:val="000000" w:themeColor="text1"/>
                <w:kern w:val="0"/>
                <w:sz w:val="24"/>
                <w:szCs w:val="20"/>
                <w14:textFill>
                  <w14:solidFill>
                    <w14:schemeClr w14:val="tx1"/>
                  </w14:solidFill>
                </w14:textFill>
                <w14:ligatures w14:val="none"/>
              </w:rPr>
            </w:pPr>
            <w:r>
              <w:rPr>
                <w:rFonts w:hint="eastAsia" w:cs="Times New Roman"/>
                <w:snapToGrid w:val="0"/>
                <w:color w:val="000000" w:themeColor="text1"/>
                <w:kern w:val="0"/>
                <w:sz w:val="24"/>
                <w:szCs w:val="20"/>
                <w14:textFill>
                  <w14:solidFill>
                    <w14:schemeClr w14:val="tx1"/>
                  </w14:solidFill>
                </w14:textFill>
                <w14:ligatures w14:val="none"/>
              </w:rPr>
              <w:t>村级寄递物流综合服务站覆盖率（</w:t>
            </w:r>
            <w:r>
              <w:rPr>
                <w:rFonts w:cs="Times New Roman"/>
                <w:snapToGrid w:val="0"/>
                <w:color w:val="000000" w:themeColor="text1"/>
                <w:kern w:val="0"/>
                <w:sz w:val="24"/>
                <w:szCs w:val="20"/>
                <w14:textFill>
                  <w14:solidFill>
                    <w14:schemeClr w14:val="tx1"/>
                  </w14:solidFill>
                </w14:textFill>
                <w14:ligatures w14:val="none"/>
              </w:rPr>
              <w:t>%</w:t>
            </w:r>
            <w:r>
              <w:rPr>
                <w:rFonts w:hint="eastAsia" w:cs="Times New Roman"/>
                <w:snapToGrid w:val="0"/>
                <w:color w:val="000000" w:themeColor="text1"/>
                <w:kern w:val="0"/>
                <w:sz w:val="24"/>
                <w:szCs w:val="20"/>
                <w14:textFill>
                  <w14:solidFill>
                    <w14:schemeClr w14:val="tx1"/>
                  </w14:solidFill>
                </w14:textFill>
                <w14:ligatures w14:val="none"/>
              </w:rPr>
              <w:t>）</w:t>
            </w:r>
          </w:p>
        </w:tc>
        <w:tc>
          <w:tcPr>
            <w:tcW w:w="992"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hint="eastAsia" w:cs="Times New Roman"/>
                <w:color w:val="000000" w:themeColor="text1"/>
                <w:kern w:val="0"/>
                <w:sz w:val="24"/>
                <w:szCs w:val="24"/>
                <w14:textFill>
                  <w14:solidFill>
                    <w14:schemeClr w14:val="tx1"/>
                  </w14:solidFill>
                </w14:textFill>
                <w14:ligatures w14:val="none"/>
              </w:rPr>
              <w:t>69</w:t>
            </w:r>
          </w:p>
        </w:tc>
        <w:tc>
          <w:tcPr>
            <w:tcW w:w="993"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hint="eastAsia" w:cs="Times New Roman"/>
                <w:color w:val="000000" w:themeColor="text1"/>
                <w:kern w:val="0"/>
                <w:sz w:val="24"/>
                <w:szCs w:val="24"/>
                <w14:textFill>
                  <w14:solidFill>
                    <w14:schemeClr w14:val="tx1"/>
                  </w14:solidFill>
                </w14:textFill>
                <w14:ligatures w14:val="none"/>
              </w:rPr>
              <w:t>90</w:t>
            </w:r>
          </w:p>
        </w:tc>
        <w:tc>
          <w:tcPr>
            <w:tcW w:w="1184"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hint="eastAsia" w:cs="Times New Roman"/>
                <w:color w:val="000000" w:themeColor="text1"/>
                <w:kern w:val="0"/>
                <w:sz w:val="24"/>
                <w:szCs w:val="24"/>
                <w14:textFill>
                  <w14:solidFill>
                    <w14:schemeClr w14:val="tx1"/>
                  </w14:solidFill>
                </w14:textFill>
                <w14:ligatures w14:val="none"/>
              </w:rPr>
              <w:t>预期性</w:t>
            </w:r>
            <w:r>
              <w:rPr>
                <w:rFonts w:cs="Times New Roman"/>
                <w:color w:val="000000" w:themeColor="text1"/>
                <w:kern w:val="0"/>
                <w:sz w:val="24"/>
                <w:szCs w:val="24"/>
                <w14:textFill>
                  <w14:solidFill>
                    <w14:schemeClr w14:val="tx1"/>
                  </w14:solidFill>
                </w14:textFill>
                <w14:ligatures w14: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5" w:type="dxa"/>
            <w:vMerge w:val="restart"/>
            <w:noWrap/>
            <w:vAlign w:val="center"/>
          </w:tcPr>
          <w:p>
            <w:pPr>
              <w:widowControl/>
              <w:spacing w:line="240" w:lineRule="auto"/>
              <w:ind w:firstLine="0" w:firstLineChars="0"/>
              <w:jc w:val="center"/>
              <w:rPr>
                <w:rFonts w:cs="Times New Roman"/>
                <w:b/>
                <w:bCs/>
                <w:color w:val="000000" w:themeColor="text1"/>
                <w:kern w:val="0"/>
                <w:sz w:val="24"/>
                <w:szCs w:val="24"/>
                <w14:textFill>
                  <w14:solidFill>
                    <w14:schemeClr w14:val="tx1"/>
                  </w14:solidFill>
                </w14:textFill>
                <w14:ligatures w14:val="none"/>
              </w:rPr>
            </w:pPr>
            <w:r>
              <w:rPr>
                <w:rFonts w:hint="eastAsia" w:cs="Times New Roman"/>
                <w:b/>
                <w:bCs/>
                <w:color w:val="000000" w:themeColor="text1"/>
                <w:kern w:val="0"/>
                <w:sz w:val="24"/>
                <w:szCs w:val="24"/>
                <w14:textFill>
                  <w14:solidFill>
                    <w14:schemeClr w14:val="tx1"/>
                  </w14:solidFill>
                </w14:textFill>
                <w14:ligatures w14:val="none"/>
              </w:rPr>
              <w:t>智</w:t>
            </w:r>
          </w:p>
          <w:p>
            <w:pPr>
              <w:widowControl/>
              <w:spacing w:line="240" w:lineRule="auto"/>
              <w:ind w:firstLine="0" w:firstLineChars="0"/>
              <w:jc w:val="center"/>
              <w:rPr>
                <w:rFonts w:cs="Times New Roman"/>
                <w:b/>
                <w:bCs/>
                <w:color w:val="000000" w:themeColor="text1"/>
                <w:kern w:val="0"/>
                <w:sz w:val="24"/>
                <w:szCs w:val="24"/>
                <w14:textFill>
                  <w14:solidFill>
                    <w14:schemeClr w14:val="tx1"/>
                  </w14:solidFill>
                </w14:textFill>
                <w14:ligatures w14:val="none"/>
              </w:rPr>
            </w:pPr>
            <w:r>
              <w:rPr>
                <w:rFonts w:hint="eastAsia" w:cs="Times New Roman"/>
                <w:b/>
                <w:bCs/>
                <w:color w:val="000000" w:themeColor="text1"/>
                <w:kern w:val="0"/>
                <w:sz w:val="24"/>
                <w:szCs w:val="24"/>
                <w14:textFill>
                  <w14:solidFill>
                    <w14:schemeClr w14:val="tx1"/>
                  </w14:solidFill>
                </w14:textFill>
                <w14:ligatures w14:val="none"/>
              </w:rPr>
              <w:t>慧</w:t>
            </w:r>
          </w:p>
          <w:p>
            <w:pPr>
              <w:widowControl/>
              <w:spacing w:line="240" w:lineRule="auto"/>
              <w:ind w:firstLine="0" w:firstLineChars="0"/>
              <w:jc w:val="center"/>
              <w:rPr>
                <w:rFonts w:cs="Times New Roman"/>
                <w:b/>
                <w:bCs/>
                <w:color w:val="000000" w:themeColor="text1"/>
                <w:kern w:val="0"/>
                <w:sz w:val="24"/>
                <w:szCs w:val="24"/>
                <w14:textFill>
                  <w14:solidFill>
                    <w14:schemeClr w14:val="tx1"/>
                  </w14:solidFill>
                </w14:textFill>
                <w14:ligatures w14:val="none"/>
              </w:rPr>
            </w:pPr>
            <w:r>
              <w:rPr>
                <w:rFonts w:hint="eastAsia" w:cs="Times New Roman"/>
                <w:b/>
                <w:bCs/>
                <w:color w:val="000000" w:themeColor="text1"/>
                <w:kern w:val="0"/>
                <w:sz w:val="24"/>
                <w:szCs w:val="24"/>
                <w14:textFill>
                  <w14:solidFill>
                    <w14:schemeClr w14:val="tx1"/>
                  </w14:solidFill>
                </w14:textFill>
                <w14:ligatures w14:val="none"/>
              </w:rPr>
              <w:t>绿</w:t>
            </w:r>
          </w:p>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hint="eastAsia" w:cs="Times New Roman"/>
                <w:b/>
                <w:bCs/>
                <w:color w:val="000000" w:themeColor="text1"/>
                <w:kern w:val="0"/>
                <w:sz w:val="24"/>
                <w:szCs w:val="24"/>
                <w14:textFill>
                  <w14:solidFill>
                    <w14:schemeClr w14:val="tx1"/>
                  </w14:solidFill>
                </w14:textFill>
                <w14:ligatures w14:val="none"/>
              </w:rPr>
              <w:t>色</w:t>
            </w:r>
          </w:p>
        </w:tc>
        <w:tc>
          <w:tcPr>
            <w:tcW w:w="567"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cs="Times New Roman"/>
                <w:color w:val="000000" w:themeColor="text1"/>
                <w:kern w:val="0"/>
                <w:sz w:val="24"/>
                <w:szCs w:val="24"/>
                <w14:textFill>
                  <w14:solidFill>
                    <w14:schemeClr w14:val="tx1"/>
                  </w14:solidFill>
                </w14:textFill>
                <w14:ligatures w14:val="none"/>
              </w:rPr>
              <w:t>16</w:t>
            </w:r>
          </w:p>
        </w:tc>
        <w:tc>
          <w:tcPr>
            <w:tcW w:w="4111" w:type="dxa"/>
            <w:vAlign w:val="center"/>
          </w:tcPr>
          <w:p>
            <w:pPr>
              <w:autoSpaceDN w:val="0"/>
              <w:spacing w:line="240" w:lineRule="auto"/>
              <w:ind w:firstLine="0" w:firstLineChars="0"/>
              <w:textAlignment w:val="center"/>
              <w:rPr>
                <w:rFonts w:cs="Times New Roman"/>
                <w:snapToGrid w:val="0"/>
                <w:color w:val="000000" w:themeColor="text1"/>
                <w:kern w:val="0"/>
                <w:sz w:val="24"/>
                <w:szCs w:val="20"/>
                <w14:textFill>
                  <w14:solidFill>
                    <w14:schemeClr w14:val="tx1"/>
                  </w14:solidFill>
                </w14:textFill>
                <w14:ligatures w14:val="none"/>
              </w:rPr>
            </w:pPr>
            <w:r>
              <w:rPr>
                <w:rFonts w:hint="eastAsia" w:cs="Times New Roman"/>
                <w:snapToGrid w:val="0"/>
                <w:color w:val="000000" w:themeColor="text1"/>
                <w:kern w:val="0"/>
                <w:sz w:val="24"/>
                <w:szCs w:val="20"/>
                <w14:textFill>
                  <w14:solidFill>
                    <w14:schemeClr w14:val="tx1"/>
                  </w14:solidFill>
                </w14:textFill>
                <w14:ligatures w14:val="none"/>
              </w:rPr>
              <w:t>普通干线公路交调站点自动化率（</w:t>
            </w:r>
            <w:r>
              <w:rPr>
                <w:rFonts w:cs="Times New Roman"/>
                <w:snapToGrid w:val="0"/>
                <w:color w:val="000000" w:themeColor="text1"/>
                <w:kern w:val="0"/>
                <w:sz w:val="24"/>
                <w:szCs w:val="20"/>
                <w14:textFill>
                  <w14:solidFill>
                    <w14:schemeClr w14:val="tx1"/>
                  </w14:solidFill>
                </w14:textFill>
                <w14:ligatures w14:val="none"/>
              </w:rPr>
              <w:t>%</w:t>
            </w:r>
            <w:r>
              <w:rPr>
                <w:rFonts w:hint="eastAsia" w:cs="Times New Roman"/>
                <w:snapToGrid w:val="0"/>
                <w:color w:val="000000" w:themeColor="text1"/>
                <w:kern w:val="0"/>
                <w:sz w:val="24"/>
                <w:szCs w:val="20"/>
                <w14:textFill>
                  <w14:solidFill>
                    <w14:schemeClr w14:val="tx1"/>
                  </w14:solidFill>
                </w14:textFill>
                <w14:ligatures w14:val="none"/>
              </w:rPr>
              <w:t>）</w:t>
            </w:r>
          </w:p>
        </w:tc>
        <w:tc>
          <w:tcPr>
            <w:tcW w:w="992"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hint="eastAsia" w:cs="Times New Roman"/>
                <w:color w:val="000000" w:themeColor="text1"/>
                <w:kern w:val="0"/>
                <w:sz w:val="24"/>
                <w:szCs w:val="24"/>
                <w14:textFill>
                  <w14:solidFill>
                    <w14:schemeClr w14:val="tx1"/>
                  </w14:solidFill>
                </w14:textFill>
                <w14:ligatures w14:val="none"/>
              </w:rPr>
              <w:t>84.6</w:t>
            </w:r>
          </w:p>
        </w:tc>
        <w:tc>
          <w:tcPr>
            <w:tcW w:w="993"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hint="eastAsia" w:cs="Times New Roman"/>
                <w:color w:val="000000" w:themeColor="text1"/>
                <w:kern w:val="0"/>
                <w:sz w:val="24"/>
                <w:szCs w:val="24"/>
                <w14:textFill>
                  <w14:solidFill>
                    <w14:schemeClr w14:val="tx1"/>
                  </w14:solidFill>
                </w14:textFill>
                <w14:ligatures w14:val="none"/>
              </w:rPr>
              <w:t>100</w:t>
            </w:r>
          </w:p>
        </w:tc>
        <w:tc>
          <w:tcPr>
            <w:tcW w:w="1184"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hint="eastAsia" w:cs="Times New Roman"/>
                <w:color w:val="000000" w:themeColor="text1"/>
                <w:kern w:val="0"/>
                <w:sz w:val="24"/>
                <w:szCs w:val="24"/>
                <w14:textFill>
                  <w14:solidFill>
                    <w14:schemeClr w14:val="tx1"/>
                  </w14:solidFill>
                </w14:textFill>
                <w14:ligatures w14: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5" w:type="dxa"/>
            <w:vMerge w:val="continue"/>
            <w:noWrap/>
            <w:vAlign w:val="center"/>
          </w:tcPr>
          <w:p>
            <w:pPr>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p>
        </w:tc>
        <w:tc>
          <w:tcPr>
            <w:tcW w:w="567"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cs="Times New Roman"/>
                <w:color w:val="000000" w:themeColor="text1"/>
                <w:kern w:val="0"/>
                <w:sz w:val="24"/>
                <w:szCs w:val="24"/>
                <w14:textFill>
                  <w14:solidFill>
                    <w14:schemeClr w14:val="tx1"/>
                  </w14:solidFill>
                </w14:textFill>
                <w14:ligatures w14:val="none"/>
              </w:rPr>
              <w:t>17</w:t>
            </w:r>
          </w:p>
        </w:tc>
        <w:tc>
          <w:tcPr>
            <w:tcW w:w="4111" w:type="dxa"/>
            <w:vAlign w:val="center"/>
          </w:tcPr>
          <w:p>
            <w:pPr>
              <w:autoSpaceDN w:val="0"/>
              <w:spacing w:line="240" w:lineRule="auto"/>
              <w:ind w:firstLine="0" w:firstLineChars="0"/>
              <w:textAlignment w:val="center"/>
              <w:rPr>
                <w:rFonts w:cs="Times New Roman"/>
                <w:snapToGrid w:val="0"/>
                <w:color w:val="000000" w:themeColor="text1"/>
                <w:w w:val="90"/>
                <w:kern w:val="0"/>
                <w:sz w:val="24"/>
                <w:szCs w:val="20"/>
                <w14:textFill>
                  <w14:solidFill>
                    <w14:schemeClr w14:val="tx1"/>
                  </w14:solidFill>
                </w14:textFill>
                <w14:ligatures w14:val="none"/>
              </w:rPr>
            </w:pPr>
            <w:r>
              <w:rPr>
                <w:rFonts w:hint="eastAsia" w:cs="Times New Roman"/>
                <w:snapToGrid w:val="0"/>
                <w:color w:val="000000" w:themeColor="text1"/>
                <w:w w:val="90"/>
                <w:kern w:val="0"/>
                <w:sz w:val="24"/>
                <w:szCs w:val="20"/>
                <w14:textFill>
                  <w14:solidFill>
                    <w14:schemeClr w14:val="tx1"/>
                  </w14:solidFill>
                </w14:textFill>
                <w14:ligatures w14:val="none"/>
              </w:rPr>
              <w:t>煤炭、铁矿石等大宗货物绿色疏港比例（</w:t>
            </w:r>
            <w:r>
              <w:rPr>
                <w:rFonts w:cs="Times New Roman"/>
                <w:snapToGrid w:val="0"/>
                <w:color w:val="000000" w:themeColor="text1"/>
                <w:w w:val="90"/>
                <w:kern w:val="0"/>
                <w:sz w:val="24"/>
                <w:szCs w:val="20"/>
                <w14:textFill>
                  <w14:solidFill>
                    <w14:schemeClr w14:val="tx1"/>
                  </w14:solidFill>
                </w14:textFill>
                <w14:ligatures w14:val="none"/>
              </w:rPr>
              <w:t>%</w:t>
            </w:r>
            <w:r>
              <w:rPr>
                <w:rFonts w:hint="eastAsia" w:cs="Times New Roman"/>
                <w:snapToGrid w:val="0"/>
                <w:color w:val="000000" w:themeColor="text1"/>
                <w:w w:val="90"/>
                <w:kern w:val="0"/>
                <w:sz w:val="24"/>
                <w:szCs w:val="20"/>
                <w14:textFill>
                  <w14:solidFill>
                    <w14:schemeClr w14:val="tx1"/>
                  </w14:solidFill>
                </w14:textFill>
                <w14:ligatures w14:val="none"/>
              </w:rPr>
              <w:t>）</w:t>
            </w:r>
          </w:p>
        </w:tc>
        <w:tc>
          <w:tcPr>
            <w:tcW w:w="992"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hint="eastAsia" w:cs="Times New Roman"/>
                <w:color w:val="000000" w:themeColor="text1"/>
                <w:kern w:val="0"/>
                <w:sz w:val="24"/>
                <w:szCs w:val="24"/>
                <w14:textFill>
                  <w14:solidFill>
                    <w14:schemeClr w14:val="tx1"/>
                  </w14:solidFill>
                </w14:textFill>
                <w14:ligatures w14:val="none"/>
              </w:rPr>
              <w:t>89</w:t>
            </w:r>
          </w:p>
        </w:tc>
        <w:tc>
          <w:tcPr>
            <w:tcW w:w="993"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hint="eastAsia" w:cs="Times New Roman"/>
                <w:color w:val="000000" w:themeColor="text1"/>
                <w:kern w:val="0"/>
                <w:sz w:val="24"/>
                <w:szCs w:val="24"/>
                <w14:textFill>
                  <w14:solidFill>
                    <w14:schemeClr w14:val="tx1"/>
                  </w14:solidFill>
                </w14:textFill>
                <w14:ligatures w14:val="none"/>
              </w:rPr>
              <w:t>90</w:t>
            </w:r>
          </w:p>
        </w:tc>
        <w:tc>
          <w:tcPr>
            <w:tcW w:w="1184"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hint="eastAsia" w:cs="Times New Roman"/>
                <w:color w:val="000000" w:themeColor="text1"/>
                <w:kern w:val="0"/>
                <w:sz w:val="24"/>
                <w:szCs w:val="24"/>
                <w14:textFill>
                  <w14:solidFill>
                    <w14:schemeClr w14:val="tx1"/>
                  </w14:solidFill>
                </w14:textFill>
                <w14:ligatures w14: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5" w:type="dxa"/>
            <w:vMerge w:val="continue"/>
            <w:noWrap/>
            <w:vAlign w:val="center"/>
          </w:tcPr>
          <w:p>
            <w:pPr>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p>
        </w:tc>
        <w:tc>
          <w:tcPr>
            <w:tcW w:w="567"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cs="Times New Roman"/>
                <w:color w:val="000000" w:themeColor="text1"/>
                <w:kern w:val="0"/>
                <w:sz w:val="24"/>
                <w:szCs w:val="24"/>
                <w14:textFill>
                  <w14:solidFill>
                    <w14:schemeClr w14:val="tx1"/>
                  </w14:solidFill>
                </w14:textFill>
                <w14:ligatures w14:val="none"/>
              </w:rPr>
              <w:t>18</w:t>
            </w:r>
          </w:p>
        </w:tc>
        <w:tc>
          <w:tcPr>
            <w:tcW w:w="4111" w:type="dxa"/>
            <w:vAlign w:val="center"/>
          </w:tcPr>
          <w:p>
            <w:pPr>
              <w:autoSpaceDN w:val="0"/>
              <w:spacing w:line="240" w:lineRule="auto"/>
              <w:ind w:firstLine="0" w:firstLineChars="0"/>
              <w:textAlignment w:val="center"/>
              <w:rPr>
                <w:rFonts w:cs="Times New Roman"/>
                <w:snapToGrid w:val="0"/>
                <w:color w:val="000000" w:themeColor="text1"/>
                <w:w w:val="90"/>
                <w:kern w:val="0"/>
                <w:sz w:val="24"/>
                <w:szCs w:val="20"/>
                <w14:textFill>
                  <w14:solidFill>
                    <w14:schemeClr w14:val="tx1"/>
                  </w14:solidFill>
                </w14:textFill>
                <w14:ligatures w14:val="none"/>
              </w:rPr>
            </w:pPr>
            <w:bookmarkStart w:id="56" w:name="OLE_LINK5"/>
            <w:r>
              <w:rPr>
                <w:rFonts w:cs="Times New Roman"/>
                <w:snapToGrid w:val="0"/>
                <w:color w:val="000000" w:themeColor="text1"/>
                <w:w w:val="90"/>
                <w:kern w:val="0"/>
                <w:sz w:val="24"/>
                <w:szCs w:val="20"/>
                <w14:textFill>
                  <w14:solidFill>
                    <w14:schemeClr w14:val="tx1"/>
                  </w14:solidFill>
                </w14:textFill>
                <w14:ligatures w14:val="none"/>
              </w:rPr>
              <w:t>当年新增和更新的新能源、清洁能源城市公交和出租车比例</w:t>
            </w:r>
            <w:bookmarkEnd w:id="56"/>
            <w:r>
              <w:rPr>
                <w:rFonts w:hint="eastAsia" w:cs="Times New Roman"/>
                <w:snapToGrid w:val="0"/>
                <w:color w:val="000000" w:themeColor="text1"/>
                <w:w w:val="90"/>
                <w:kern w:val="0"/>
                <w:sz w:val="24"/>
                <w:szCs w:val="20"/>
                <w14:textFill>
                  <w14:solidFill>
                    <w14:schemeClr w14:val="tx1"/>
                  </w14:solidFill>
                </w14:textFill>
                <w14:ligatures w14:val="none"/>
              </w:rPr>
              <w:t>（</w:t>
            </w:r>
            <w:r>
              <w:rPr>
                <w:rFonts w:cs="Times New Roman"/>
                <w:snapToGrid w:val="0"/>
                <w:color w:val="000000" w:themeColor="text1"/>
                <w:w w:val="90"/>
                <w:kern w:val="0"/>
                <w:sz w:val="24"/>
                <w:szCs w:val="20"/>
                <w14:textFill>
                  <w14:solidFill>
                    <w14:schemeClr w14:val="tx1"/>
                  </w14:solidFill>
                </w14:textFill>
                <w14:ligatures w14:val="none"/>
              </w:rPr>
              <w:t>%</w:t>
            </w:r>
            <w:r>
              <w:rPr>
                <w:rFonts w:hint="eastAsia" w:cs="Times New Roman"/>
                <w:snapToGrid w:val="0"/>
                <w:color w:val="000000" w:themeColor="text1"/>
                <w:w w:val="90"/>
                <w:kern w:val="0"/>
                <w:sz w:val="24"/>
                <w:szCs w:val="20"/>
                <w14:textFill>
                  <w14:solidFill>
                    <w14:schemeClr w14:val="tx1"/>
                  </w14:solidFill>
                </w14:textFill>
                <w14:ligatures w14:val="none"/>
              </w:rPr>
              <w:t>）</w:t>
            </w:r>
          </w:p>
        </w:tc>
        <w:tc>
          <w:tcPr>
            <w:tcW w:w="992"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hint="eastAsia" w:cs="Times New Roman"/>
                <w:color w:val="000000" w:themeColor="text1"/>
                <w:kern w:val="0"/>
                <w:sz w:val="24"/>
                <w:szCs w:val="24"/>
                <w14:textFill>
                  <w14:solidFill>
                    <w14:schemeClr w14:val="tx1"/>
                  </w14:solidFill>
                </w14:textFill>
                <w14:ligatures w14:val="none"/>
              </w:rPr>
              <w:t>100</w:t>
            </w:r>
          </w:p>
        </w:tc>
        <w:tc>
          <w:tcPr>
            <w:tcW w:w="993"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hint="eastAsia" w:cs="Times New Roman"/>
                <w:color w:val="000000" w:themeColor="text1"/>
                <w:kern w:val="0"/>
                <w:sz w:val="24"/>
                <w:szCs w:val="24"/>
                <w14:textFill>
                  <w14:solidFill>
                    <w14:schemeClr w14:val="tx1"/>
                  </w14:solidFill>
                </w14:textFill>
                <w14:ligatures w14:val="none"/>
              </w:rPr>
              <w:t>100</w:t>
            </w:r>
          </w:p>
        </w:tc>
        <w:tc>
          <w:tcPr>
            <w:tcW w:w="1184"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hint="eastAsia" w:cs="Times New Roman"/>
                <w:color w:val="000000" w:themeColor="text1"/>
                <w:kern w:val="0"/>
                <w:sz w:val="24"/>
                <w:szCs w:val="24"/>
                <w14:textFill>
                  <w14:solidFill>
                    <w14:schemeClr w14:val="tx1"/>
                  </w14:solidFill>
                </w14:textFill>
                <w14:ligatures w14: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5" w:type="dxa"/>
            <w:vMerge w:val="continue"/>
            <w:noWrap/>
            <w:vAlign w:val="center"/>
          </w:tcPr>
          <w:p>
            <w:pPr>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p>
        </w:tc>
        <w:tc>
          <w:tcPr>
            <w:tcW w:w="567"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cs="Times New Roman"/>
                <w:color w:val="000000" w:themeColor="text1"/>
                <w:kern w:val="0"/>
                <w:sz w:val="24"/>
                <w:szCs w:val="24"/>
                <w14:textFill>
                  <w14:solidFill>
                    <w14:schemeClr w14:val="tx1"/>
                  </w14:solidFill>
                </w14:textFill>
                <w14:ligatures w14:val="none"/>
              </w:rPr>
              <w:t>1</w:t>
            </w:r>
            <w:r>
              <w:rPr>
                <w:rFonts w:hint="eastAsia" w:cs="Times New Roman"/>
                <w:color w:val="000000" w:themeColor="text1"/>
                <w:kern w:val="0"/>
                <w:sz w:val="24"/>
                <w:szCs w:val="24"/>
                <w14:textFill>
                  <w14:solidFill>
                    <w14:schemeClr w14:val="tx1"/>
                  </w14:solidFill>
                </w14:textFill>
                <w14:ligatures w14:val="none"/>
              </w:rPr>
              <w:t>9</w:t>
            </w:r>
          </w:p>
        </w:tc>
        <w:tc>
          <w:tcPr>
            <w:tcW w:w="4111" w:type="dxa"/>
            <w:vAlign w:val="center"/>
          </w:tcPr>
          <w:p>
            <w:pPr>
              <w:autoSpaceDN w:val="0"/>
              <w:spacing w:line="240" w:lineRule="auto"/>
              <w:ind w:firstLine="0" w:firstLineChars="0"/>
              <w:textAlignment w:val="center"/>
              <w:rPr>
                <w:rFonts w:cs="Times New Roman"/>
                <w:snapToGrid w:val="0"/>
                <w:color w:val="000000" w:themeColor="text1"/>
                <w:kern w:val="0"/>
                <w:sz w:val="24"/>
                <w:szCs w:val="20"/>
                <w14:textFill>
                  <w14:solidFill>
                    <w14:schemeClr w14:val="tx1"/>
                  </w14:solidFill>
                </w14:textFill>
                <w14:ligatures w14:val="none"/>
              </w:rPr>
            </w:pPr>
            <w:r>
              <w:rPr>
                <w:rFonts w:hint="eastAsia" w:cs="Times New Roman"/>
                <w:snapToGrid w:val="0"/>
                <w:color w:val="000000" w:themeColor="text1"/>
                <w:kern w:val="0"/>
                <w:sz w:val="24"/>
                <w:szCs w:val="20"/>
                <w14:textFill>
                  <w14:solidFill>
                    <w14:schemeClr w14:val="tx1"/>
                  </w14:solidFill>
                </w14:textFill>
                <w14:ligatures w14:val="none"/>
              </w:rPr>
              <w:t>新建港口泊位岸电设施覆盖率（</w:t>
            </w:r>
            <w:r>
              <w:rPr>
                <w:rFonts w:cs="Times New Roman"/>
                <w:snapToGrid w:val="0"/>
                <w:color w:val="000000" w:themeColor="text1"/>
                <w:kern w:val="0"/>
                <w:sz w:val="24"/>
                <w:szCs w:val="20"/>
                <w14:textFill>
                  <w14:solidFill>
                    <w14:schemeClr w14:val="tx1"/>
                  </w14:solidFill>
                </w14:textFill>
                <w14:ligatures w14:val="none"/>
              </w:rPr>
              <w:t>%</w:t>
            </w:r>
            <w:r>
              <w:rPr>
                <w:rFonts w:hint="eastAsia" w:cs="Times New Roman"/>
                <w:snapToGrid w:val="0"/>
                <w:color w:val="000000" w:themeColor="text1"/>
                <w:kern w:val="0"/>
                <w:sz w:val="24"/>
                <w:szCs w:val="20"/>
                <w14:textFill>
                  <w14:solidFill>
                    <w14:schemeClr w14:val="tx1"/>
                  </w14:solidFill>
                </w14:textFill>
                <w14:ligatures w14:val="none"/>
              </w:rPr>
              <w:t>）</w:t>
            </w:r>
          </w:p>
        </w:tc>
        <w:tc>
          <w:tcPr>
            <w:tcW w:w="992"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hint="eastAsia" w:cs="Times New Roman"/>
                <w:color w:val="000000" w:themeColor="text1"/>
                <w:kern w:val="0"/>
                <w:sz w:val="24"/>
                <w:szCs w:val="24"/>
                <w14:textFill>
                  <w14:solidFill>
                    <w14:schemeClr w14:val="tx1"/>
                  </w14:solidFill>
                </w14:textFill>
                <w14:ligatures w14:val="none"/>
              </w:rPr>
              <w:t>-</w:t>
            </w:r>
          </w:p>
        </w:tc>
        <w:tc>
          <w:tcPr>
            <w:tcW w:w="993" w:type="dxa"/>
            <w:noWrap/>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hint="eastAsia" w:cs="Times New Roman"/>
                <w:color w:val="000000" w:themeColor="text1"/>
                <w:kern w:val="0"/>
                <w:sz w:val="24"/>
                <w:szCs w:val="24"/>
                <w14:textFill>
                  <w14:solidFill>
                    <w14:schemeClr w14:val="tx1"/>
                  </w14:solidFill>
                </w14:textFill>
                <w14:ligatures w14:val="none"/>
              </w:rPr>
              <w:t>100</w:t>
            </w:r>
          </w:p>
        </w:tc>
        <w:tc>
          <w:tcPr>
            <w:tcW w:w="1184"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hint="eastAsia" w:cs="Times New Roman"/>
                <w:color w:val="000000" w:themeColor="text1"/>
                <w:kern w:val="0"/>
                <w:sz w:val="24"/>
                <w:szCs w:val="24"/>
                <w14:textFill>
                  <w14:solidFill>
                    <w14:schemeClr w14:val="tx1"/>
                  </w14:solidFill>
                </w14:textFill>
                <w14:ligatures w14:val="none"/>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5" w:type="dxa"/>
            <w:vMerge w:val="restart"/>
            <w:noWrap/>
            <w:vAlign w:val="center"/>
          </w:tcPr>
          <w:p>
            <w:pPr>
              <w:widowControl/>
              <w:spacing w:line="240" w:lineRule="auto"/>
              <w:ind w:firstLine="0" w:firstLineChars="0"/>
              <w:jc w:val="center"/>
              <w:rPr>
                <w:rFonts w:cs="Times New Roman"/>
                <w:b/>
                <w:bCs/>
                <w:color w:val="000000" w:themeColor="text1"/>
                <w:kern w:val="0"/>
                <w:sz w:val="24"/>
                <w:szCs w:val="24"/>
                <w14:textFill>
                  <w14:solidFill>
                    <w14:schemeClr w14:val="tx1"/>
                  </w14:solidFill>
                </w14:textFill>
                <w14:ligatures w14:val="none"/>
              </w:rPr>
            </w:pPr>
            <w:r>
              <w:rPr>
                <w:rFonts w:hint="eastAsia" w:cs="Times New Roman"/>
                <w:b/>
                <w:bCs/>
                <w:color w:val="000000" w:themeColor="text1"/>
                <w:kern w:val="0"/>
                <w:sz w:val="24"/>
                <w:szCs w:val="24"/>
                <w14:textFill>
                  <w14:solidFill>
                    <w14:schemeClr w14:val="tx1"/>
                  </w14:solidFill>
                </w14:textFill>
                <w14:ligatures w14:val="none"/>
              </w:rPr>
              <w:t>安</w:t>
            </w:r>
          </w:p>
          <w:p>
            <w:pPr>
              <w:widowControl/>
              <w:spacing w:line="240" w:lineRule="auto"/>
              <w:ind w:firstLine="0" w:firstLineChars="0"/>
              <w:jc w:val="center"/>
              <w:rPr>
                <w:rFonts w:cs="Times New Roman"/>
                <w:b/>
                <w:bCs/>
                <w:color w:val="000000" w:themeColor="text1"/>
                <w:kern w:val="0"/>
                <w:sz w:val="24"/>
                <w:szCs w:val="24"/>
                <w14:textFill>
                  <w14:solidFill>
                    <w14:schemeClr w14:val="tx1"/>
                  </w14:solidFill>
                </w14:textFill>
                <w14:ligatures w14:val="none"/>
              </w:rPr>
            </w:pPr>
            <w:r>
              <w:rPr>
                <w:rFonts w:hint="eastAsia" w:cs="Times New Roman"/>
                <w:b/>
                <w:bCs/>
                <w:color w:val="000000" w:themeColor="text1"/>
                <w:kern w:val="0"/>
                <w:sz w:val="24"/>
                <w:szCs w:val="24"/>
                <w14:textFill>
                  <w14:solidFill>
                    <w14:schemeClr w14:val="tx1"/>
                  </w14:solidFill>
                </w14:textFill>
                <w14:ligatures w14:val="none"/>
              </w:rPr>
              <w:t>全</w:t>
            </w:r>
          </w:p>
          <w:p>
            <w:pPr>
              <w:widowControl/>
              <w:spacing w:line="240" w:lineRule="auto"/>
              <w:ind w:firstLine="0" w:firstLineChars="0"/>
              <w:jc w:val="center"/>
              <w:rPr>
                <w:rFonts w:cs="Times New Roman"/>
                <w:b/>
                <w:bCs/>
                <w:color w:val="000000" w:themeColor="text1"/>
                <w:kern w:val="0"/>
                <w:sz w:val="24"/>
                <w:szCs w:val="24"/>
                <w14:textFill>
                  <w14:solidFill>
                    <w14:schemeClr w14:val="tx1"/>
                  </w14:solidFill>
                </w14:textFill>
                <w14:ligatures w14:val="none"/>
              </w:rPr>
            </w:pPr>
            <w:r>
              <w:rPr>
                <w:rFonts w:hint="eastAsia" w:cs="Times New Roman"/>
                <w:b/>
                <w:bCs/>
                <w:color w:val="000000" w:themeColor="text1"/>
                <w:kern w:val="0"/>
                <w:sz w:val="24"/>
                <w:szCs w:val="24"/>
                <w14:textFill>
                  <w14:solidFill>
                    <w14:schemeClr w14:val="tx1"/>
                  </w14:solidFill>
                </w14:textFill>
                <w14:ligatures w14:val="none"/>
              </w:rPr>
              <w:t>韧</w:t>
            </w:r>
          </w:p>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hint="eastAsia" w:cs="Times New Roman"/>
                <w:b/>
                <w:bCs/>
                <w:color w:val="000000" w:themeColor="text1"/>
                <w:kern w:val="0"/>
                <w:sz w:val="24"/>
                <w:szCs w:val="24"/>
                <w14:textFill>
                  <w14:solidFill>
                    <w14:schemeClr w14:val="tx1"/>
                  </w14:solidFill>
                </w14:textFill>
                <w14:ligatures w14:val="none"/>
              </w:rPr>
              <w:t>性</w:t>
            </w:r>
          </w:p>
        </w:tc>
        <w:tc>
          <w:tcPr>
            <w:tcW w:w="567" w:type="dxa"/>
            <w:vAlign w:val="center"/>
          </w:tcPr>
          <w:p>
            <w:pPr>
              <w:widowControl/>
              <w:spacing w:line="240" w:lineRule="auto"/>
              <w:ind w:firstLine="0" w:firstLineChars="0"/>
              <w:jc w:val="center"/>
              <w:rPr>
                <w:rFonts w:cs="Times New Roman"/>
                <w:snapToGrid w:val="0"/>
                <w:color w:val="000000" w:themeColor="text1"/>
                <w:kern w:val="0"/>
                <w:sz w:val="24"/>
                <w14:textFill>
                  <w14:solidFill>
                    <w14:schemeClr w14:val="tx1"/>
                  </w14:solidFill>
                </w14:textFill>
                <w14:ligatures w14:val="none"/>
              </w:rPr>
            </w:pPr>
            <w:r>
              <w:rPr>
                <w:rFonts w:hint="eastAsia" w:cs="Times New Roman"/>
                <w:color w:val="000000" w:themeColor="text1"/>
                <w:kern w:val="0"/>
                <w:sz w:val="24"/>
                <w:szCs w:val="24"/>
                <w14:textFill>
                  <w14:solidFill>
                    <w14:schemeClr w14:val="tx1"/>
                  </w14:solidFill>
                </w14:textFill>
                <w14:ligatures w14:val="none"/>
              </w:rPr>
              <w:t>2</w:t>
            </w:r>
            <w:r>
              <w:rPr>
                <w:rFonts w:cs="Times New Roman"/>
                <w:color w:val="000000" w:themeColor="text1"/>
                <w:kern w:val="0"/>
                <w:sz w:val="24"/>
                <w:szCs w:val="24"/>
                <w14:textFill>
                  <w14:solidFill>
                    <w14:schemeClr w14:val="tx1"/>
                  </w14:solidFill>
                </w14:textFill>
                <w14:ligatures w14:val="none"/>
              </w:rPr>
              <w:t>0</w:t>
            </w:r>
          </w:p>
        </w:tc>
        <w:tc>
          <w:tcPr>
            <w:tcW w:w="4111" w:type="dxa"/>
            <w:vAlign w:val="center"/>
          </w:tcPr>
          <w:p>
            <w:pPr>
              <w:autoSpaceDN w:val="0"/>
              <w:spacing w:line="240" w:lineRule="auto"/>
              <w:ind w:firstLine="0" w:firstLineChars="0"/>
              <w:textAlignment w:val="center"/>
              <w:rPr>
                <w:rFonts w:cs="Times New Roman"/>
                <w:snapToGrid w:val="0"/>
                <w:color w:val="000000" w:themeColor="text1"/>
                <w:kern w:val="0"/>
                <w:sz w:val="24"/>
                <w:szCs w:val="20"/>
                <w14:textFill>
                  <w14:solidFill>
                    <w14:schemeClr w14:val="tx1"/>
                  </w14:solidFill>
                </w14:textFill>
                <w14:ligatures w14:val="none"/>
              </w:rPr>
            </w:pPr>
            <w:r>
              <w:rPr>
                <w:rFonts w:hint="eastAsia" w:cs="Times New Roman"/>
                <w:snapToGrid w:val="0"/>
                <w:color w:val="000000" w:themeColor="text1"/>
                <w:kern w:val="0"/>
                <w:sz w:val="24"/>
                <w:szCs w:val="20"/>
                <w14:textFill>
                  <w14:solidFill>
                    <w14:schemeClr w14:val="tx1"/>
                  </w14:solidFill>
                </w14:textFill>
                <w14:ligatures w14:val="none"/>
              </w:rPr>
              <w:t>干线公路一、二类桥梁比例</w:t>
            </w:r>
            <w:bookmarkStart w:id="57" w:name="OLE_LINK238"/>
            <w:r>
              <w:rPr>
                <w:rFonts w:hint="eastAsia" w:cs="Times New Roman"/>
                <w:snapToGrid w:val="0"/>
                <w:color w:val="000000" w:themeColor="text1"/>
                <w:kern w:val="0"/>
                <w:sz w:val="24"/>
                <w:szCs w:val="20"/>
                <w14:textFill>
                  <w14:solidFill>
                    <w14:schemeClr w14:val="tx1"/>
                  </w14:solidFill>
                </w14:textFill>
                <w14:ligatures w14:val="none"/>
              </w:rPr>
              <w:t>（</w:t>
            </w:r>
            <w:r>
              <w:rPr>
                <w:rFonts w:cs="Times New Roman"/>
                <w:snapToGrid w:val="0"/>
                <w:color w:val="000000" w:themeColor="text1"/>
                <w:kern w:val="0"/>
                <w:sz w:val="24"/>
                <w:szCs w:val="20"/>
                <w14:textFill>
                  <w14:solidFill>
                    <w14:schemeClr w14:val="tx1"/>
                  </w14:solidFill>
                </w14:textFill>
                <w14:ligatures w14:val="none"/>
              </w:rPr>
              <w:t>%</w:t>
            </w:r>
            <w:r>
              <w:rPr>
                <w:rFonts w:hint="eastAsia" w:cs="Times New Roman"/>
                <w:snapToGrid w:val="0"/>
                <w:color w:val="000000" w:themeColor="text1"/>
                <w:kern w:val="0"/>
                <w:sz w:val="24"/>
                <w:szCs w:val="20"/>
                <w14:textFill>
                  <w14:solidFill>
                    <w14:schemeClr w14:val="tx1"/>
                  </w14:solidFill>
                </w14:textFill>
                <w14:ligatures w14:val="none"/>
              </w:rPr>
              <w:t>）</w:t>
            </w:r>
            <w:bookmarkEnd w:id="57"/>
          </w:p>
        </w:tc>
        <w:tc>
          <w:tcPr>
            <w:tcW w:w="992"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hint="eastAsia" w:cs="Times New Roman"/>
                <w:color w:val="000000" w:themeColor="text1"/>
                <w:kern w:val="0"/>
                <w:sz w:val="24"/>
                <w:szCs w:val="24"/>
                <w14:textFill>
                  <w14:solidFill>
                    <w14:schemeClr w14:val="tx1"/>
                  </w14:solidFill>
                </w14:textFill>
                <w14:ligatures w14:val="none"/>
              </w:rPr>
              <w:t>90</w:t>
            </w:r>
          </w:p>
        </w:tc>
        <w:tc>
          <w:tcPr>
            <w:tcW w:w="993" w:type="dxa"/>
            <w:noWrap/>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hint="eastAsia" w:cs="Times New Roman"/>
                <w:color w:val="000000" w:themeColor="text1"/>
                <w:kern w:val="0"/>
                <w:sz w:val="24"/>
                <w:szCs w:val="24"/>
                <w14:textFill>
                  <w14:solidFill>
                    <w14:schemeClr w14:val="tx1"/>
                  </w14:solidFill>
                </w14:textFill>
                <w14:ligatures w14:val="none"/>
              </w:rPr>
              <w:t>95</w:t>
            </w:r>
          </w:p>
        </w:tc>
        <w:tc>
          <w:tcPr>
            <w:tcW w:w="1184"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hint="eastAsia" w:cs="Times New Roman"/>
                <w:color w:val="000000" w:themeColor="text1"/>
                <w:kern w:val="0"/>
                <w:sz w:val="24"/>
                <w:szCs w:val="24"/>
                <w14:textFill>
                  <w14:solidFill>
                    <w14:schemeClr w14:val="tx1"/>
                  </w14:solidFill>
                </w14:textFill>
                <w14:ligatures w14:val="none"/>
              </w:rPr>
              <w:t>约束性</w:t>
            </w:r>
            <w:r>
              <w:rPr>
                <w:rFonts w:cs="Times New Roman"/>
                <w:color w:val="000000" w:themeColor="text1"/>
                <w:kern w:val="0"/>
                <w:sz w:val="24"/>
                <w:szCs w:val="24"/>
                <w14:textFill>
                  <w14:solidFill>
                    <w14:schemeClr w14:val="tx1"/>
                  </w14:solidFill>
                </w14:textFill>
                <w14:ligatures w14: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5" w:type="dxa"/>
            <w:vMerge w:val="continue"/>
            <w:noWrap/>
            <w:vAlign w:val="center"/>
          </w:tcPr>
          <w:p>
            <w:pPr>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p>
        </w:tc>
        <w:tc>
          <w:tcPr>
            <w:tcW w:w="567"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cs="Times New Roman"/>
                <w:color w:val="000000" w:themeColor="text1"/>
                <w:kern w:val="0"/>
                <w:sz w:val="24"/>
                <w:szCs w:val="24"/>
                <w14:textFill>
                  <w14:solidFill>
                    <w14:schemeClr w14:val="tx1"/>
                  </w14:solidFill>
                </w14:textFill>
                <w14:ligatures w14:val="none"/>
              </w:rPr>
              <w:t>21</w:t>
            </w:r>
          </w:p>
        </w:tc>
        <w:tc>
          <w:tcPr>
            <w:tcW w:w="4111" w:type="dxa"/>
            <w:vAlign w:val="center"/>
          </w:tcPr>
          <w:p>
            <w:pPr>
              <w:autoSpaceDN w:val="0"/>
              <w:spacing w:line="240" w:lineRule="auto"/>
              <w:ind w:firstLine="0" w:firstLineChars="0"/>
              <w:textAlignment w:val="center"/>
              <w:rPr>
                <w:rFonts w:cs="Times New Roman"/>
                <w:snapToGrid w:val="0"/>
                <w:color w:val="000000" w:themeColor="text1"/>
                <w:kern w:val="0"/>
                <w:sz w:val="24"/>
                <w:szCs w:val="20"/>
                <w14:textFill>
                  <w14:solidFill>
                    <w14:schemeClr w14:val="tx1"/>
                  </w14:solidFill>
                </w14:textFill>
                <w14:ligatures w14:val="none"/>
              </w:rPr>
            </w:pPr>
            <w:r>
              <w:rPr>
                <w:rFonts w:hint="eastAsia" w:cs="Times New Roman"/>
                <w:snapToGrid w:val="0"/>
                <w:color w:val="000000" w:themeColor="text1"/>
                <w:kern w:val="0"/>
                <w:sz w:val="24"/>
                <w:szCs w:val="20"/>
                <w14:textFill>
                  <w14:solidFill>
                    <w14:schemeClr w14:val="tx1"/>
                  </w14:solidFill>
                </w14:textFill>
                <w14:ligatures w14:val="none"/>
              </w:rPr>
              <w:t>道路运输较大及以上等级行车事故万车死亡人数下降率（</w:t>
            </w:r>
            <w:r>
              <w:rPr>
                <w:rFonts w:cs="Times New Roman"/>
                <w:snapToGrid w:val="0"/>
                <w:color w:val="000000" w:themeColor="text1"/>
                <w:kern w:val="0"/>
                <w:sz w:val="24"/>
                <w:szCs w:val="20"/>
                <w14:textFill>
                  <w14:solidFill>
                    <w14:schemeClr w14:val="tx1"/>
                  </w14:solidFill>
                </w14:textFill>
                <w14:ligatures w14:val="none"/>
              </w:rPr>
              <w:t>%</w:t>
            </w:r>
            <w:r>
              <w:rPr>
                <w:rFonts w:hint="eastAsia" w:cs="Times New Roman"/>
                <w:snapToGrid w:val="0"/>
                <w:color w:val="000000" w:themeColor="text1"/>
                <w:kern w:val="0"/>
                <w:sz w:val="24"/>
                <w:szCs w:val="20"/>
                <w14:textFill>
                  <w14:solidFill>
                    <w14:schemeClr w14:val="tx1"/>
                  </w14:solidFill>
                </w14:textFill>
                <w14:ligatures w14:val="none"/>
              </w:rPr>
              <w:t>）</w:t>
            </w:r>
          </w:p>
        </w:tc>
        <w:tc>
          <w:tcPr>
            <w:tcW w:w="992"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hint="eastAsia" w:cs="Times New Roman"/>
                <w:color w:val="000000" w:themeColor="text1"/>
                <w:kern w:val="0"/>
                <w:sz w:val="24"/>
                <w:szCs w:val="24"/>
                <w14:textFill>
                  <w14:solidFill>
                    <w14:schemeClr w14:val="tx1"/>
                  </w14:solidFill>
                </w14:textFill>
                <w14:ligatures w14:val="none"/>
              </w:rPr>
              <w:t>-</w:t>
            </w:r>
          </w:p>
        </w:tc>
        <w:tc>
          <w:tcPr>
            <w:tcW w:w="993" w:type="dxa"/>
            <w:noWrap/>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cs="Times New Roman"/>
                <w:color w:val="000000" w:themeColor="text1"/>
                <w:kern w:val="0"/>
                <w:sz w:val="24"/>
                <w:szCs w:val="24"/>
                <w14:textFill>
                  <w14:solidFill>
                    <w14:schemeClr w14:val="tx1"/>
                  </w14:solidFill>
                </w14:textFill>
                <w14:ligatures w14:val="none"/>
              </w:rPr>
              <w:t>10</w:t>
            </w:r>
          </w:p>
        </w:tc>
        <w:tc>
          <w:tcPr>
            <w:tcW w:w="1184"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hint="eastAsia" w:cs="Times New Roman"/>
                <w:color w:val="000000" w:themeColor="text1"/>
                <w:kern w:val="0"/>
                <w:sz w:val="24"/>
                <w:szCs w:val="24"/>
                <w14:textFill>
                  <w14:solidFill>
                    <w14:schemeClr w14:val="tx1"/>
                  </w14:solidFill>
                </w14:textFill>
                <w14:ligatures w14:val="none"/>
              </w:rPr>
              <w:t>约束性</w:t>
            </w:r>
            <w:r>
              <w:rPr>
                <w:rFonts w:cs="Times New Roman"/>
                <w:color w:val="000000" w:themeColor="text1"/>
                <w:kern w:val="0"/>
                <w:sz w:val="24"/>
                <w:szCs w:val="24"/>
                <w14:textFill>
                  <w14:solidFill>
                    <w14:schemeClr w14:val="tx1"/>
                  </w14:solidFill>
                </w14:textFill>
                <w14:ligatures w14: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5" w:type="dxa"/>
            <w:vMerge w:val="continue"/>
            <w:noWrap/>
            <w:vAlign w:val="center"/>
          </w:tcPr>
          <w:p>
            <w:pPr>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p>
        </w:tc>
        <w:tc>
          <w:tcPr>
            <w:tcW w:w="567"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cs="Times New Roman"/>
                <w:color w:val="000000" w:themeColor="text1"/>
                <w:kern w:val="0"/>
                <w:sz w:val="24"/>
                <w:szCs w:val="24"/>
                <w14:textFill>
                  <w14:solidFill>
                    <w14:schemeClr w14:val="tx1"/>
                  </w14:solidFill>
                </w14:textFill>
                <w14:ligatures w14:val="none"/>
              </w:rPr>
              <w:t>22</w:t>
            </w:r>
          </w:p>
        </w:tc>
        <w:tc>
          <w:tcPr>
            <w:tcW w:w="4111" w:type="dxa"/>
            <w:vAlign w:val="center"/>
          </w:tcPr>
          <w:p>
            <w:pPr>
              <w:autoSpaceDN w:val="0"/>
              <w:spacing w:line="240" w:lineRule="auto"/>
              <w:ind w:firstLine="0" w:firstLineChars="0"/>
              <w:textAlignment w:val="center"/>
              <w:rPr>
                <w:rFonts w:cs="Times New Roman"/>
                <w:snapToGrid w:val="0"/>
                <w:color w:val="000000" w:themeColor="text1"/>
                <w:kern w:val="0"/>
                <w:sz w:val="24"/>
                <w:szCs w:val="20"/>
                <w14:textFill>
                  <w14:solidFill>
                    <w14:schemeClr w14:val="tx1"/>
                  </w14:solidFill>
                </w14:textFill>
                <w14:ligatures w14:val="none"/>
              </w:rPr>
            </w:pPr>
            <w:r>
              <w:rPr>
                <w:rFonts w:hint="eastAsia" w:cs="Times New Roman"/>
                <w:snapToGrid w:val="0"/>
                <w:color w:val="000000" w:themeColor="text1"/>
                <w:kern w:val="0"/>
                <w:sz w:val="24"/>
                <w:szCs w:val="20"/>
                <w14:textFill>
                  <w14:solidFill>
                    <w14:schemeClr w14:val="tx1"/>
                  </w14:solidFill>
                </w14:textFill>
                <w14:ligatures w14:val="none"/>
              </w:rPr>
              <w:t>港口危险货物储罐检测率（</w:t>
            </w:r>
            <w:r>
              <w:rPr>
                <w:rFonts w:cs="Times New Roman"/>
                <w:snapToGrid w:val="0"/>
                <w:color w:val="000000" w:themeColor="text1"/>
                <w:kern w:val="0"/>
                <w:sz w:val="24"/>
                <w:szCs w:val="20"/>
                <w14:textFill>
                  <w14:solidFill>
                    <w14:schemeClr w14:val="tx1"/>
                  </w14:solidFill>
                </w14:textFill>
                <w14:ligatures w14:val="none"/>
              </w:rPr>
              <w:t>%</w:t>
            </w:r>
            <w:r>
              <w:rPr>
                <w:rFonts w:hint="eastAsia" w:cs="Times New Roman"/>
                <w:snapToGrid w:val="0"/>
                <w:color w:val="000000" w:themeColor="text1"/>
                <w:kern w:val="0"/>
                <w:sz w:val="24"/>
                <w:szCs w:val="20"/>
                <w14:textFill>
                  <w14:solidFill>
                    <w14:schemeClr w14:val="tx1"/>
                  </w14:solidFill>
                </w14:textFill>
                <w14:ligatures w14:val="none"/>
              </w:rPr>
              <w:t>）</w:t>
            </w:r>
          </w:p>
        </w:tc>
        <w:tc>
          <w:tcPr>
            <w:tcW w:w="992"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hint="eastAsia" w:cs="Times New Roman"/>
                <w:color w:val="000000" w:themeColor="text1"/>
                <w:kern w:val="0"/>
                <w:sz w:val="24"/>
                <w:szCs w:val="24"/>
                <w14:textFill>
                  <w14:solidFill>
                    <w14:schemeClr w14:val="tx1"/>
                  </w14:solidFill>
                </w14:textFill>
                <w14:ligatures w14:val="none"/>
              </w:rPr>
              <w:t>-</w:t>
            </w:r>
          </w:p>
        </w:tc>
        <w:tc>
          <w:tcPr>
            <w:tcW w:w="993" w:type="dxa"/>
            <w:noWrap/>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hint="eastAsia" w:cs="Times New Roman"/>
                <w:color w:val="000000" w:themeColor="text1"/>
                <w:kern w:val="0"/>
                <w:sz w:val="24"/>
                <w:szCs w:val="24"/>
                <w14:textFill>
                  <w14:solidFill>
                    <w14:schemeClr w14:val="tx1"/>
                  </w14:solidFill>
                </w14:textFill>
                <w14:ligatures w14:val="none"/>
              </w:rPr>
              <w:t>100</w:t>
            </w:r>
          </w:p>
        </w:tc>
        <w:tc>
          <w:tcPr>
            <w:tcW w:w="1184"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hint="eastAsia" w:cs="Times New Roman"/>
                <w:color w:val="000000" w:themeColor="text1"/>
                <w:kern w:val="0"/>
                <w:sz w:val="24"/>
                <w:szCs w:val="24"/>
                <w14:textFill>
                  <w14:solidFill>
                    <w14:schemeClr w14:val="tx1"/>
                  </w14:solidFill>
                </w14:textFill>
                <w14:ligatures w14:val="none"/>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5" w:type="dxa"/>
            <w:vMerge w:val="continue"/>
            <w:noWrap/>
            <w:vAlign w:val="center"/>
          </w:tcPr>
          <w:p>
            <w:pPr>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bookmarkStart w:id="58" w:name="_Hlk205650135"/>
          </w:p>
        </w:tc>
        <w:tc>
          <w:tcPr>
            <w:tcW w:w="567"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cs="Times New Roman"/>
                <w:color w:val="000000" w:themeColor="text1"/>
                <w:kern w:val="0"/>
                <w:sz w:val="24"/>
                <w:szCs w:val="24"/>
                <w14:textFill>
                  <w14:solidFill>
                    <w14:schemeClr w14:val="tx1"/>
                  </w14:solidFill>
                </w14:textFill>
                <w14:ligatures w14:val="none"/>
              </w:rPr>
              <w:t>2</w:t>
            </w:r>
            <w:r>
              <w:rPr>
                <w:rFonts w:hint="eastAsia" w:cs="Times New Roman"/>
                <w:color w:val="000000" w:themeColor="text1"/>
                <w:kern w:val="0"/>
                <w:sz w:val="24"/>
                <w:szCs w:val="24"/>
                <w14:textFill>
                  <w14:solidFill>
                    <w14:schemeClr w14:val="tx1"/>
                  </w14:solidFill>
                </w14:textFill>
                <w14:ligatures w14:val="none"/>
              </w:rPr>
              <w:t>3</w:t>
            </w:r>
          </w:p>
        </w:tc>
        <w:tc>
          <w:tcPr>
            <w:tcW w:w="4111" w:type="dxa"/>
            <w:vAlign w:val="center"/>
          </w:tcPr>
          <w:p>
            <w:pPr>
              <w:autoSpaceDN w:val="0"/>
              <w:spacing w:line="240" w:lineRule="auto"/>
              <w:ind w:firstLine="0" w:firstLineChars="0"/>
              <w:textAlignment w:val="center"/>
              <w:rPr>
                <w:rFonts w:cs="Times New Roman"/>
                <w:snapToGrid w:val="0"/>
                <w:color w:val="000000" w:themeColor="text1"/>
                <w:kern w:val="0"/>
                <w:sz w:val="24"/>
                <w:szCs w:val="20"/>
                <w14:textFill>
                  <w14:solidFill>
                    <w14:schemeClr w14:val="tx1"/>
                  </w14:solidFill>
                </w14:textFill>
                <w14:ligatures w14:val="none"/>
              </w:rPr>
            </w:pPr>
            <w:r>
              <w:rPr>
                <w:rFonts w:hint="eastAsia" w:cs="Times New Roman"/>
                <w:snapToGrid w:val="0"/>
                <w:color w:val="000000" w:themeColor="text1"/>
                <w:kern w:val="0"/>
                <w:sz w:val="24"/>
                <w:szCs w:val="20"/>
                <w14:textFill>
                  <w14:solidFill>
                    <w14:schemeClr w14:val="tx1"/>
                  </w14:solidFill>
                </w14:textFill>
                <w14:ligatures w14:val="none"/>
              </w:rPr>
              <w:t>“两客一危”企业主要负责人和安全管理人员安全生产日常考核率（</w:t>
            </w:r>
            <w:r>
              <w:rPr>
                <w:rFonts w:cs="Times New Roman"/>
                <w:snapToGrid w:val="0"/>
                <w:color w:val="000000" w:themeColor="text1"/>
                <w:kern w:val="0"/>
                <w:sz w:val="24"/>
                <w:szCs w:val="20"/>
                <w14:textFill>
                  <w14:solidFill>
                    <w14:schemeClr w14:val="tx1"/>
                  </w14:solidFill>
                </w14:textFill>
                <w14:ligatures w14:val="none"/>
              </w:rPr>
              <w:t>%</w:t>
            </w:r>
            <w:r>
              <w:rPr>
                <w:rFonts w:hint="eastAsia" w:cs="Times New Roman"/>
                <w:snapToGrid w:val="0"/>
                <w:color w:val="000000" w:themeColor="text1"/>
                <w:kern w:val="0"/>
                <w:sz w:val="24"/>
                <w:szCs w:val="20"/>
                <w14:textFill>
                  <w14:solidFill>
                    <w14:schemeClr w14:val="tx1"/>
                  </w14:solidFill>
                </w14:textFill>
                <w14:ligatures w14:val="none"/>
              </w:rPr>
              <w:t>）</w:t>
            </w:r>
          </w:p>
        </w:tc>
        <w:tc>
          <w:tcPr>
            <w:tcW w:w="992"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hint="eastAsia" w:cs="Times New Roman"/>
                <w:color w:val="000000" w:themeColor="text1"/>
                <w:kern w:val="0"/>
                <w:sz w:val="24"/>
                <w:szCs w:val="24"/>
                <w14:textFill>
                  <w14:solidFill>
                    <w14:schemeClr w14:val="tx1"/>
                  </w14:solidFill>
                </w14:textFill>
                <w14:ligatures w14:val="none"/>
              </w:rPr>
              <w:t>-</w:t>
            </w:r>
          </w:p>
        </w:tc>
        <w:tc>
          <w:tcPr>
            <w:tcW w:w="993" w:type="dxa"/>
            <w:noWrap/>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hint="eastAsia" w:cs="Times New Roman"/>
                <w:color w:val="000000" w:themeColor="text1"/>
                <w:kern w:val="0"/>
                <w:sz w:val="24"/>
                <w:szCs w:val="24"/>
                <w14:textFill>
                  <w14:solidFill>
                    <w14:schemeClr w14:val="tx1"/>
                  </w14:solidFill>
                </w14:textFill>
                <w14:ligatures w14:val="none"/>
              </w:rPr>
              <w:t>100</w:t>
            </w:r>
          </w:p>
        </w:tc>
        <w:tc>
          <w:tcPr>
            <w:tcW w:w="1184" w:type="dxa"/>
            <w:vAlign w:val="center"/>
          </w:tcPr>
          <w:p>
            <w:pPr>
              <w:widowControl/>
              <w:spacing w:line="240" w:lineRule="auto"/>
              <w:ind w:firstLine="0" w:firstLineChars="0"/>
              <w:jc w:val="center"/>
              <w:rPr>
                <w:rFonts w:cs="Times New Roman"/>
                <w:color w:val="000000" w:themeColor="text1"/>
                <w:kern w:val="0"/>
                <w:sz w:val="24"/>
                <w:szCs w:val="24"/>
                <w14:textFill>
                  <w14:solidFill>
                    <w14:schemeClr w14:val="tx1"/>
                  </w14:solidFill>
                </w14:textFill>
                <w14:ligatures w14:val="none"/>
              </w:rPr>
            </w:pPr>
            <w:r>
              <w:rPr>
                <w:rFonts w:hint="eastAsia" w:cs="Times New Roman"/>
                <w:color w:val="000000" w:themeColor="text1"/>
                <w:kern w:val="0"/>
                <w:sz w:val="24"/>
                <w:szCs w:val="24"/>
                <w14:textFill>
                  <w14:solidFill>
                    <w14:schemeClr w14:val="tx1"/>
                  </w14:solidFill>
                </w14:textFill>
                <w14:ligatures w14:val="none"/>
              </w:rPr>
              <w:t>约束性</w:t>
            </w:r>
          </w:p>
        </w:tc>
      </w:tr>
      <w:bookmarkEnd w:id="202"/>
      <w:bookmarkEnd w:id="54"/>
      <w:bookmarkEnd w:id="58"/>
    </w:tbl>
    <w:p>
      <w:pPr>
        <w:autoSpaceDN w:val="0"/>
        <w:spacing w:line="240" w:lineRule="auto"/>
        <w:ind w:firstLine="0" w:firstLineChars="0"/>
        <w:textAlignment w:val="center"/>
        <w:rPr>
          <w:rFonts w:cs="Times New Roman"/>
          <w:snapToGrid w:val="0"/>
          <w:color w:val="00B050"/>
          <w:kern w:val="0"/>
          <w:sz w:val="24"/>
          <w:szCs w:val="20"/>
          <w14:ligatures w14:val="none"/>
        </w:rPr>
      </w:pPr>
      <w:bookmarkStart w:id="59" w:name="_Toc232606925"/>
      <w:bookmarkStart w:id="60" w:name="OLE_LINK113"/>
      <w:r>
        <w:rPr>
          <w:rFonts w:hint="eastAsia" w:cs="Times New Roman"/>
          <w:snapToGrid w:val="0"/>
          <w:color w:val="000000" w:themeColor="text1"/>
          <w:kern w:val="0"/>
          <w:sz w:val="24"/>
          <w:szCs w:val="20"/>
          <w14:textFill>
            <w14:solidFill>
              <w14:schemeClr w14:val="tx1"/>
            </w14:solidFill>
          </w14:textFill>
          <w14:ligatures w14:val="none"/>
        </w:rPr>
        <w:t>说明：标*为省“十五五”综合交通规划指标，标#为省“十五五”行业发展规划研究报告指标。</w:t>
      </w:r>
    </w:p>
    <w:p>
      <w:pPr>
        <w:spacing w:line="600" w:lineRule="exact"/>
        <w:ind w:firstLine="640"/>
        <w:outlineLvl w:val="0"/>
        <w:rPr>
          <w:color w:val="000000" w:themeColor="text1"/>
          <w14:textFill>
            <w14:solidFill>
              <w14:schemeClr w14:val="tx1"/>
            </w14:solidFill>
          </w14:textFill>
        </w:rPr>
      </w:pPr>
      <w:r>
        <w:rPr>
          <w:rFonts w:hint="eastAsia" w:ascii="黑体" w:hAnsi="黑体" w:eastAsia="黑体" w:cs="黑体"/>
          <w:color w:val="000000" w:themeColor="text1"/>
          <w:szCs w:val="32"/>
          <w14:textFill>
            <w14:solidFill>
              <w14:schemeClr w14:val="tx1"/>
            </w14:solidFill>
          </w14:textFill>
        </w:rPr>
        <w:t>三、提升国家综合交通枢纽能级</w:t>
      </w:r>
      <w:bookmarkEnd w:id="59"/>
      <w:bookmarkEnd w:id="60"/>
    </w:p>
    <w:p>
      <w:pPr>
        <w:topLinePunct/>
        <w:spacing w:line="600" w:lineRule="exact"/>
        <w:ind w:firstLine="639" w:firstLineChars="199"/>
        <w:outlineLvl w:val="1"/>
        <w:rPr>
          <w:b/>
          <w:bCs/>
        </w:rPr>
      </w:pPr>
      <w:bookmarkStart w:id="61" w:name="_Toc232606926"/>
      <w:r>
        <w:rPr>
          <w:rFonts w:hint="eastAsia" w:ascii="楷体_GB2312" w:hAnsi="楷体_GB2312" w:eastAsia="楷体_GB2312" w:cs="楷体_GB2312"/>
          <w:b/>
          <w:color w:val="000000" w:themeColor="text1"/>
          <w:szCs w:val="32"/>
          <w14:textFill>
            <w14:solidFill>
              <w14:schemeClr w14:val="tx1"/>
            </w14:solidFill>
          </w14:textFill>
        </w:rPr>
        <w:t>（一）</w:t>
      </w:r>
      <w:bookmarkStart w:id="62" w:name="OLE_LINK175"/>
      <w:r>
        <w:rPr>
          <w:rFonts w:hint="eastAsia" w:ascii="楷体_GB2312" w:hAnsi="楷体_GB2312" w:eastAsia="楷体_GB2312" w:cs="楷体_GB2312"/>
          <w:b/>
          <w:color w:val="000000" w:themeColor="text1"/>
          <w:szCs w:val="32"/>
          <w14:textFill>
            <w14:solidFill>
              <w14:schemeClr w14:val="tx1"/>
            </w14:solidFill>
          </w14:textFill>
        </w:rPr>
        <w:t>完善综合立体交通网布局</w:t>
      </w:r>
      <w:bookmarkEnd w:id="61"/>
    </w:p>
    <w:bookmarkEnd w:id="62"/>
    <w:p>
      <w:pPr>
        <w:spacing w:line="600" w:lineRule="exact"/>
        <w:ind w:firstLine="640"/>
        <w:rPr>
          <w:color w:val="000000" w:themeColor="text1"/>
          <w14:textFill>
            <w14:solidFill>
              <w14:schemeClr w14:val="tx1"/>
            </w14:solidFill>
          </w14:textFill>
        </w:rPr>
      </w:pPr>
      <w:r>
        <w:rPr>
          <w:rFonts w:hint="eastAsia"/>
          <w:color w:val="000000" w:themeColor="text1"/>
          <w14:textFill>
            <w14:solidFill>
              <w14:schemeClr w14:val="tx1"/>
            </w14:solidFill>
          </w14:textFill>
        </w:rPr>
        <w:t>加快完善“两纵三横”综合立体交通网主骨架。提升对接沈阳、大连“双核”走廊能力，强化营口港与国家中欧班列（沈阳）集结中心联动，</w:t>
      </w:r>
      <w:r>
        <w:rPr>
          <w:rFonts w:hint="eastAsia" w:cs="Times New Roman"/>
          <w:color w:val="000000" w:themeColor="text1"/>
          <w:szCs w:val="32"/>
          <w14:textFill>
            <w14:solidFill>
              <w14:schemeClr w14:val="tx1"/>
            </w14:solidFill>
          </w14:textFill>
        </w:rPr>
        <w:t>推动营口与鞍山深入合作、结对发展，打通内陆城市出海通道；</w:t>
      </w:r>
      <w:r>
        <w:rPr>
          <w:rFonts w:hint="eastAsia"/>
          <w:color w:val="000000" w:themeColor="text1"/>
          <w14:textFill>
            <w14:solidFill>
              <w14:schemeClr w14:val="tx1"/>
            </w14:solidFill>
          </w14:textFill>
        </w:rPr>
        <w:t>积极参与大连</w:t>
      </w:r>
      <w:r>
        <w:rPr>
          <w:color w:val="000000" w:themeColor="text1"/>
          <w14:textFill>
            <w14:solidFill>
              <w14:schemeClr w14:val="tx1"/>
            </w14:solidFill>
          </w14:textFill>
        </w:rPr>
        <w:t>东北亚国际航运中心建设</w:t>
      </w:r>
      <w:r>
        <w:rPr>
          <w:rFonts w:hint="eastAsia" w:cs="Times New Roman"/>
          <w:color w:val="000000" w:themeColor="text1"/>
          <w:szCs w:val="32"/>
          <w14:textFill>
            <w14:solidFill>
              <w14:schemeClr w14:val="tx1"/>
            </w14:solidFill>
          </w14:textFill>
        </w:rPr>
        <w:t>，共建“沈大营物流经济走廊”</w:t>
      </w:r>
      <w:r>
        <w:rPr>
          <w:rFonts w:hint="eastAsia"/>
          <w:color w:val="000000" w:themeColor="text1"/>
          <w14:textFill>
            <w14:solidFill>
              <w14:schemeClr w14:val="tx1"/>
            </w14:solidFill>
          </w14:textFill>
        </w:rPr>
        <w:t>。畅通盘锦辽东湾新区—营口—鲅鱼圈—大连太平湾方向沿海交通走廊，推动港口、物流与产业协同发展，进一步推动辽宁沿海经济带开发开放。完善营口至盘锦（辽西方向）交通走廊和营口至岫岩东西通道</w:t>
      </w:r>
      <w:bookmarkStart w:id="63" w:name="OLE_LINK13"/>
      <w:r>
        <w:rPr>
          <w:rFonts w:hint="eastAsia"/>
          <w:color w:val="000000" w:themeColor="text1"/>
          <w14:textFill>
            <w14:solidFill>
              <w14:schemeClr w14:val="tx1"/>
            </w14:solidFill>
          </w14:textFill>
        </w:rPr>
        <w:t>，畅通与辽西融入京津冀协同发展战略先导区、辽东绿色经济区交通联系。强化营口至庄河交通走廊，</w:t>
      </w:r>
      <w:r>
        <w:rPr>
          <w:rFonts w:cs="Times New Roman"/>
          <w:color w:val="000000" w:themeColor="text1"/>
          <w:kern w:val="0"/>
          <w:szCs w:val="32"/>
          <w:shd w:val="clear" w:color="auto" w:fill="FFFFFF"/>
          <w14:textFill>
            <w14:solidFill>
              <w14:schemeClr w14:val="tx1"/>
            </w14:solidFill>
          </w14:textFill>
        </w:rPr>
        <w:t>促进城市</w:t>
      </w:r>
      <w:r>
        <w:rPr>
          <w:rFonts w:hint="eastAsia" w:cs="Times New Roman"/>
          <w:color w:val="000000" w:themeColor="text1"/>
          <w:kern w:val="0"/>
          <w:szCs w:val="32"/>
          <w:shd w:val="clear" w:color="auto" w:fill="FFFFFF"/>
          <w14:textFill>
            <w14:solidFill>
              <w14:schemeClr w14:val="tx1"/>
            </w14:solidFill>
          </w14:textFill>
        </w:rPr>
        <w:t>间</w:t>
      </w:r>
      <w:r>
        <w:rPr>
          <w:rFonts w:cs="Times New Roman"/>
          <w:color w:val="000000" w:themeColor="text1"/>
          <w:kern w:val="0"/>
          <w:szCs w:val="32"/>
          <w:shd w:val="clear" w:color="auto" w:fill="FFFFFF"/>
          <w14:textFill>
            <w14:solidFill>
              <w14:schemeClr w14:val="tx1"/>
            </w14:solidFill>
          </w14:textFill>
        </w:rPr>
        <w:t>内部产业、人口和资源的高效联动</w:t>
      </w:r>
      <w:r>
        <w:rPr>
          <w:rFonts w:hint="eastAsia" w:cs="Times New Roman"/>
          <w:color w:val="000000" w:themeColor="text1"/>
          <w:kern w:val="0"/>
          <w:szCs w:val="32"/>
          <w:shd w:val="clear" w:color="auto" w:fill="FFFFFF"/>
          <w14:textFill>
            <w14:solidFill>
              <w14:schemeClr w14:val="tx1"/>
            </w14:solidFill>
          </w14:textFill>
        </w:rPr>
        <w:t>。</w:t>
      </w:r>
      <w:bookmarkEnd w:id="63"/>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Pr>
          <w:p>
            <w:pPr>
              <w:spacing w:line="240" w:lineRule="auto"/>
              <w:ind w:firstLine="0" w:firstLineChars="0"/>
              <w:jc w:val="center"/>
              <w:rPr>
                <w:b/>
                <w:bCs/>
                <w:color w:val="000000" w:themeColor="text1"/>
                <w:kern w:val="0"/>
                <w:sz w:val="20"/>
                <w:szCs w:val="20"/>
                <w14:textFill>
                  <w14:solidFill>
                    <w14:schemeClr w14:val="tx1"/>
                  </w14:solidFill>
                </w14:textFill>
              </w:rPr>
            </w:pPr>
            <w:r>
              <w:rPr>
                <w:b/>
                <w:bCs/>
                <w:color w:val="000000" w:themeColor="text1"/>
                <w:kern w:val="0"/>
                <w:sz w:val="28"/>
                <w:szCs w:val="28"/>
                <w14:textFill>
                  <w14:solidFill>
                    <w14:schemeClr w14:val="tx1"/>
                  </w14:solidFill>
                </w14:textFill>
              </w:rPr>
              <w:t>专栏1</w:t>
            </w:r>
            <w:r>
              <w:rPr>
                <w:rFonts w:hint="eastAsia"/>
                <w:b/>
                <w:bCs/>
                <w:color w:val="000000" w:themeColor="text1"/>
                <w:kern w:val="0"/>
                <w:sz w:val="28"/>
                <w:szCs w:val="28"/>
                <w14:textFill>
                  <w14:solidFill>
                    <w14:schemeClr w14:val="tx1"/>
                  </w14:solidFill>
                </w14:textFill>
              </w:rPr>
              <w:t xml:space="preserve"> 营口市综合立体交通网布局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Pr>
          <w:p>
            <w:pPr>
              <w:spacing w:line="440" w:lineRule="exact"/>
              <w:ind w:firstLine="562"/>
              <w:rPr>
                <w:rFonts w:cs="Times New Roman"/>
                <w:color w:val="000000" w:themeColor="text1"/>
                <w:sz w:val="28"/>
                <w:szCs w:val="28"/>
                <w14:textFill>
                  <w14:solidFill>
                    <w14:schemeClr w14:val="tx1"/>
                  </w14:solidFill>
                </w14:textFill>
              </w:rPr>
            </w:pPr>
            <w:bookmarkStart w:id="64" w:name="OLE_LINK176"/>
            <w:r>
              <w:rPr>
                <w:rFonts w:hint="eastAsia" w:cs="Times New Roman"/>
                <w:b/>
                <w:bCs/>
                <w:color w:val="000000" w:themeColor="text1"/>
                <w:sz w:val="28"/>
                <w:szCs w:val="28"/>
                <w14:textFill>
                  <w14:solidFill>
                    <w14:schemeClr w14:val="tx1"/>
                  </w14:solidFill>
                </w14:textFill>
              </w:rPr>
              <w:t>沈阳—鞍山—营口—大连交通主轴</w:t>
            </w:r>
            <w:bookmarkEnd w:id="64"/>
            <w:r>
              <w:rPr>
                <w:rFonts w:hint="eastAsia" w:cs="Times New Roman"/>
                <w:b/>
                <w:bCs/>
                <w:color w:val="000000" w:themeColor="text1"/>
                <w:sz w:val="28"/>
                <w:szCs w:val="28"/>
                <w14:textFill>
                  <w14:solidFill>
                    <w14:schemeClr w14:val="tx1"/>
                  </w14:solidFill>
                </w14:textFill>
              </w:rPr>
              <w:t>。</w:t>
            </w:r>
            <w:r>
              <w:rPr>
                <w:rFonts w:hint="eastAsia" w:cs="Times New Roman"/>
                <w:color w:val="000000" w:themeColor="text1"/>
                <w:sz w:val="28"/>
                <w:szCs w:val="28"/>
                <w14:textFill>
                  <w14:solidFill>
                    <w14:schemeClr w14:val="tx1"/>
                  </w14:solidFill>
                </w14:textFill>
              </w:rPr>
              <w:t>依托沈大高铁、沈大铁路、沈海高速公路、国道黑大线、省道盖普线、省道盖亮线等。</w:t>
            </w:r>
            <w:bookmarkStart w:id="65" w:name="OLE_LINK181"/>
          </w:p>
          <w:p>
            <w:pPr>
              <w:spacing w:line="440" w:lineRule="exact"/>
              <w:ind w:firstLine="562"/>
              <w:rPr>
                <w:rFonts w:cs="Times New Roman"/>
                <w:color w:val="000000" w:themeColor="text1"/>
                <w:sz w:val="28"/>
                <w:szCs w:val="28"/>
                <w14:textFill>
                  <w14:solidFill>
                    <w14:schemeClr w14:val="tx1"/>
                  </w14:solidFill>
                </w14:textFill>
              </w:rPr>
            </w:pPr>
            <w:r>
              <w:rPr>
                <w:rFonts w:hint="eastAsia" w:cs="Times New Roman"/>
                <w:b/>
                <w:bCs/>
                <w:color w:val="000000" w:themeColor="text1"/>
                <w:sz w:val="28"/>
                <w:szCs w:val="28"/>
                <w14:textFill>
                  <w14:solidFill>
                    <w14:schemeClr w14:val="tx1"/>
                  </w14:solidFill>
                </w14:textFill>
              </w:rPr>
              <w:t>盘锦辽东湾新区－营口－鲅鱼圈－大连太平湾沿海交通走廊</w:t>
            </w:r>
            <w:bookmarkEnd w:id="65"/>
            <w:r>
              <w:rPr>
                <w:rFonts w:hint="eastAsia" w:cs="Times New Roman"/>
                <w:b/>
                <w:bCs/>
                <w:color w:val="000000" w:themeColor="text1"/>
                <w:sz w:val="28"/>
                <w:szCs w:val="28"/>
                <w14:textFill>
                  <w14:solidFill>
                    <w14:schemeClr w14:val="tx1"/>
                  </w14:solidFill>
                </w14:textFill>
              </w:rPr>
              <w:t>。</w:t>
            </w:r>
            <w:r>
              <w:rPr>
                <w:rFonts w:hint="eastAsia" w:cs="Times New Roman"/>
                <w:color w:val="000000" w:themeColor="text1"/>
                <w:sz w:val="28"/>
                <w:szCs w:val="28"/>
                <w14:textFill>
                  <w14:solidFill>
                    <w14:schemeClr w14:val="tx1"/>
                  </w14:solidFill>
                </w14:textFill>
              </w:rPr>
              <w:t>依托</w:t>
            </w:r>
            <w:bookmarkStart w:id="66" w:name="OLE_LINK182"/>
            <w:r>
              <w:rPr>
                <w:rFonts w:hint="eastAsia" w:cs="Times New Roman"/>
                <w:color w:val="000000" w:themeColor="text1"/>
                <w:sz w:val="28"/>
                <w:szCs w:val="28"/>
                <w14:textFill>
                  <w14:solidFill>
                    <w14:schemeClr w14:val="tx1"/>
                  </w14:solidFill>
                </w14:textFill>
              </w:rPr>
              <w:t>国道丹东线、省道鸡高线、营鲅公路</w:t>
            </w:r>
            <w:bookmarkEnd w:id="66"/>
            <w:r>
              <w:rPr>
                <w:rFonts w:hint="eastAsia" w:cs="Times New Roman"/>
                <w:color w:val="000000" w:themeColor="text1"/>
                <w:sz w:val="28"/>
                <w:szCs w:val="28"/>
                <w14:textFill>
                  <w14:solidFill>
                    <w14:schemeClr w14:val="tx1"/>
                  </w14:solidFill>
                </w14:textFill>
              </w:rPr>
              <w:t>、营口自贸区至鲅鱼圈疏港铁路（规划）等。</w:t>
            </w:r>
          </w:p>
          <w:p>
            <w:pPr>
              <w:spacing w:line="440" w:lineRule="exact"/>
              <w:ind w:firstLine="562"/>
              <w:rPr>
                <w:rFonts w:cs="Times New Roman"/>
                <w:color w:val="000000" w:themeColor="text1"/>
                <w:sz w:val="28"/>
                <w:szCs w:val="28"/>
                <w14:textFill>
                  <w14:solidFill>
                    <w14:schemeClr w14:val="tx1"/>
                  </w14:solidFill>
                </w14:textFill>
              </w:rPr>
            </w:pPr>
            <w:r>
              <w:rPr>
                <w:rFonts w:hint="eastAsia" w:cs="Times New Roman"/>
                <w:b/>
                <w:bCs/>
                <w:color w:val="000000" w:themeColor="text1"/>
                <w:sz w:val="28"/>
                <w:szCs w:val="28"/>
                <w14:textFill>
                  <w14:solidFill>
                    <w14:schemeClr w14:val="tx1"/>
                  </w14:solidFill>
                </w14:textFill>
              </w:rPr>
              <w:t>营口－盘锦（辽西）交通走廊。</w:t>
            </w:r>
            <w:r>
              <w:rPr>
                <w:rFonts w:hint="eastAsia" w:cs="Times New Roman"/>
                <w:color w:val="000000" w:themeColor="text1"/>
                <w:sz w:val="28"/>
                <w:szCs w:val="28"/>
                <w14:textFill>
                  <w14:solidFill>
                    <w14:schemeClr w14:val="tx1"/>
                  </w14:solidFill>
                </w14:textFill>
              </w:rPr>
              <w:t>依托丹锡高速公路、国道庄西线等。</w:t>
            </w:r>
          </w:p>
          <w:p>
            <w:pPr>
              <w:spacing w:line="440" w:lineRule="exact"/>
              <w:ind w:firstLine="562"/>
              <w:rPr>
                <w:rFonts w:cs="Times New Roman"/>
                <w:b/>
                <w:bCs/>
                <w:color w:val="000000" w:themeColor="text1"/>
                <w:sz w:val="28"/>
                <w:szCs w:val="28"/>
                <w14:textFill>
                  <w14:solidFill>
                    <w14:schemeClr w14:val="tx1"/>
                  </w14:solidFill>
                </w14:textFill>
              </w:rPr>
            </w:pPr>
            <w:r>
              <w:rPr>
                <w:rFonts w:hint="eastAsia" w:cs="Times New Roman"/>
                <w:b/>
                <w:bCs/>
                <w:color w:val="000000" w:themeColor="text1"/>
                <w:sz w:val="28"/>
                <w:szCs w:val="28"/>
                <w14:textFill>
                  <w14:solidFill>
                    <w14:schemeClr w14:val="tx1"/>
                  </w14:solidFill>
                </w14:textFill>
              </w:rPr>
              <w:t>营口－岫岩交通走廊</w:t>
            </w:r>
            <w:bookmarkStart w:id="67" w:name="OLE_LINK178"/>
            <w:r>
              <w:rPr>
                <w:rFonts w:hint="eastAsia" w:cs="Times New Roman"/>
                <w:b/>
                <w:bCs/>
                <w:color w:val="000000" w:themeColor="text1"/>
                <w:sz w:val="28"/>
                <w:szCs w:val="28"/>
                <w14:textFill>
                  <w14:solidFill>
                    <w14:schemeClr w14:val="tx1"/>
                  </w14:solidFill>
                </w14:textFill>
              </w:rPr>
              <w:t>。</w:t>
            </w:r>
            <w:r>
              <w:rPr>
                <w:rFonts w:hint="eastAsia" w:cs="Times New Roman"/>
                <w:color w:val="000000" w:themeColor="text1"/>
                <w:sz w:val="28"/>
                <w:szCs w:val="28"/>
                <w14:textFill>
                  <w14:solidFill>
                    <w14:schemeClr w14:val="tx1"/>
                  </w14:solidFill>
                </w14:textFill>
              </w:rPr>
              <w:t>依托宽营高速公路（规划）、国道饶盖线、省道青营线、省道岫水线</w:t>
            </w:r>
            <w:bookmarkEnd w:id="67"/>
            <w:r>
              <w:rPr>
                <w:rFonts w:hint="eastAsia" w:cs="Times New Roman"/>
                <w:color w:val="000000" w:themeColor="text1"/>
                <w:sz w:val="28"/>
                <w:szCs w:val="28"/>
                <w14:textFill>
                  <w14:solidFill>
                    <w14:schemeClr w14:val="tx1"/>
                  </w14:solidFill>
                </w14:textFill>
              </w:rPr>
              <w:t>等。</w:t>
            </w:r>
          </w:p>
          <w:p>
            <w:pPr>
              <w:spacing w:line="440" w:lineRule="exact"/>
              <w:ind w:firstLine="562"/>
              <w:rPr>
                <w:rFonts w:cs="Times New Roman"/>
                <w:color w:val="000000" w:themeColor="text1"/>
                <w:sz w:val="28"/>
                <w:szCs w:val="28"/>
                <w14:textFill>
                  <w14:solidFill>
                    <w14:schemeClr w14:val="tx1"/>
                  </w14:solidFill>
                </w14:textFill>
              </w:rPr>
            </w:pPr>
            <w:bookmarkStart w:id="68" w:name="OLE_LINK179"/>
            <w:r>
              <w:rPr>
                <w:rFonts w:hint="eastAsia" w:cs="Times New Roman"/>
                <w:b/>
                <w:bCs/>
                <w:color w:val="000000" w:themeColor="text1"/>
                <w:sz w:val="28"/>
                <w:szCs w:val="28"/>
                <w14:textFill>
                  <w14:solidFill>
                    <w14:schemeClr w14:val="tx1"/>
                  </w14:solidFill>
                </w14:textFill>
              </w:rPr>
              <w:t>营口－庄河交通走廊</w:t>
            </w:r>
            <w:bookmarkEnd w:id="68"/>
            <w:r>
              <w:rPr>
                <w:rFonts w:hint="eastAsia" w:cs="Times New Roman"/>
                <w:b/>
                <w:bCs/>
                <w:color w:val="000000" w:themeColor="text1"/>
                <w:sz w:val="28"/>
                <w:szCs w:val="28"/>
                <w14:textFill>
                  <w14:solidFill>
                    <w14:schemeClr w14:val="tx1"/>
                  </w14:solidFill>
                </w14:textFill>
              </w:rPr>
              <w:t>。</w:t>
            </w:r>
            <w:r>
              <w:rPr>
                <w:rFonts w:hint="eastAsia" w:cs="Times New Roman"/>
                <w:color w:val="000000" w:themeColor="text1"/>
                <w:sz w:val="28"/>
                <w:szCs w:val="28"/>
                <w14:textFill>
                  <w14:solidFill>
                    <w14:schemeClr w14:val="tx1"/>
                  </w14:solidFill>
                </w14:textFill>
              </w:rPr>
              <w:t>依托</w:t>
            </w:r>
            <w:bookmarkStart w:id="69" w:name="OLE_LINK180"/>
            <w:r>
              <w:rPr>
                <w:rFonts w:hint="eastAsia" w:cs="Times New Roman"/>
                <w:color w:val="000000" w:themeColor="text1"/>
                <w:sz w:val="28"/>
                <w:szCs w:val="28"/>
                <w14:textFill>
                  <w14:solidFill>
                    <w14:schemeClr w14:val="tx1"/>
                  </w14:solidFill>
                </w14:textFill>
              </w:rPr>
              <w:t>庄盖高速公路、国道庄西线、省道塔营线</w:t>
            </w:r>
            <w:bookmarkEnd w:id="69"/>
            <w:r>
              <w:rPr>
                <w:rFonts w:hint="eastAsia" w:cs="Times New Roman"/>
                <w:color w:val="000000" w:themeColor="text1"/>
                <w:sz w:val="28"/>
                <w:szCs w:val="28"/>
                <w14:textFill>
                  <w14:solidFill>
                    <w14:schemeClr w14:val="tx1"/>
                  </w14:solidFill>
                </w14:textFill>
              </w:rPr>
              <w:t>等。</w:t>
            </w:r>
          </w:p>
        </w:tc>
      </w:tr>
    </w:tbl>
    <w:p>
      <w:pPr>
        <w:topLinePunct/>
        <w:spacing w:line="600" w:lineRule="exact"/>
        <w:ind w:firstLine="639" w:firstLineChars="199"/>
        <w:outlineLvl w:val="1"/>
        <w:rPr>
          <w:b/>
          <w:bCs/>
        </w:rPr>
      </w:pPr>
      <w:bookmarkStart w:id="70" w:name="_Toc232606927"/>
      <w:r>
        <w:rPr>
          <w:rFonts w:hint="eastAsia" w:ascii="楷体_GB2312" w:hAnsi="楷体_GB2312" w:eastAsia="楷体_GB2312" w:cs="楷体_GB2312"/>
          <w:b/>
          <w:color w:val="000000" w:themeColor="text1"/>
          <w:szCs w:val="32"/>
          <w14:textFill>
            <w14:solidFill>
              <w14:schemeClr w14:val="tx1"/>
            </w14:solidFill>
          </w14:textFill>
        </w:rPr>
        <w:t>（二）</w:t>
      </w:r>
      <w:bookmarkStart w:id="71" w:name="OLE_LINK122"/>
      <w:r>
        <w:rPr>
          <w:rFonts w:hint="eastAsia" w:ascii="楷体_GB2312" w:hAnsi="楷体_GB2312" w:eastAsia="楷体_GB2312" w:cs="楷体_GB2312"/>
          <w:b/>
          <w:color w:val="000000" w:themeColor="text1"/>
          <w:szCs w:val="32"/>
          <w14:textFill>
            <w14:solidFill>
              <w14:schemeClr w14:val="tx1"/>
            </w14:solidFill>
          </w14:textFill>
        </w:rPr>
        <w:t>强化东北海陆大通道建设</w:t>
      </w:r>
      <w:bookmarkEnd w:id="70"/>
    </w:p>
    <w:bookmarkEnd w:id="71"/>
    <w:p>
      <w:pPr>
        <w:spacing w:line="600" w:lineRule="exact"/>
        <w:ind w:firstLine="640"/>
        <w:rPr>
          <w:color w:val="000000" w:themeColor="text1"/>
          <w14:textFill>
            <w14:solidFill>
              <w14:schemeClr w14:val="tx1"/>
            </w14:solidFill>
          </w14:textFill>
        </w:rPr>
      </w:pPr>
      <w:bookmarkStart w:id="72" w:name="_Hlk205651056"/>
      <w:bookmarkStart w:id="73" w:name="OLE_LINK134"/>
      <w:r>
        <w:rPr>
          <w:rFonts w:hint="eastAsia"/>
          <w:color w:val="000000" w:themeColor="text1"/>
          <w14:textFill>
            <w14:solidFill>
              <w14:schemeClr w14:val="tx1"/>
            </w14:solidFill>
          </w14:textFill>
        </w:rPr>
        <w:t>以营口港为枢纽节点，海上通道为主体，公路、铁路通道为支撑，管道、航空等通道为补充，加快构建</w:t>
      </w:r>
      <w:r>
        <w:rPr>
          <w:rFonts w:hint="eastAsia" w:cs="仿宋_GB2312"/>
          <w:color w:val="000000" w:themeColor="text1"/>
          <w:szCs w:val="32"/>
          <w:lang w:bidi="ar"/>
          <w14:textFill>
            <w14:solidFill>
              <w14:schemeClr w14:val="tx1"/>
            </w14:solidFill>
          </w14:textFill>
        </w:rPr>
        <w:t>陆海统筹、双向互济、内外联动的</w:t>
      </w:r>
      <w:bookmarkEnd w:id="72"/>
      <w:r>
        <w:rPr>
          <w:rFonts w:hint="eastAsia"/>
          <w:color w:val="000000" w:themeColor="text1"/>
          <w14:textFill>
            <w14:solidFill>
              <w14:schemeClr w14:val="tx1"/>
            </w14:solidFill>
          </w14:textFill>
        </w:rPr>
        <w:t>发展格局，</w:t>
      </w:r>
      <w:r>
        <w:rPr>
          <w:color w:val="000000" w:themeColor="text1"/>
          <w14:textFill>
            <w14:solidFill>
              <w14:schemeClr w14:val="tx1"/>
            </w14:solidFill>
          </w14:textFill>
        </w:rPr>
        <w:t>提升营口作为东北海陆大通道</w:t>
      </w:r>
      <w:r>
        <w:rPr>
          <w:rFonts w:hint="eastAsia"/>
          <w:color w:val="000000" w:themeColor="text1"/>
          <w14:textFill>
            <w14:solidFill>
              <w14:schemeClr w14:val="tx1"/>
            </w14:solidFill>
          </w14:textFill>
        </w:rPr>
        <w:t>支点枢纽城市服务能级。</w:t>
      </w:r>
      <w:bookmarkEnd w:id="73"/>
      <w:bookmarkStart w:id="74" w:name="OLE_LINK123"/>
      <w:r>
        <w:rPr>
          <w:rFonts w:hint="eastAsia"/>
          <w:color w:val="000000" w:themeColor="text1"/>
          <w14:textFill>
            <w14:solidFill>
              <w14:schemeClr w14:val="tx1"/>
            </w14:solidFill>
          </w14:textFill>
        </w:rPr>
        <w:t>拓展向东通道，</w:t>
      </w:r>
      <w:bookmarkEnd w:id="74"/>
      <w:bookmarkStart w:id="75" w:name="OLE_LINK124"/>
      <w:r>
        <w:rPr>
          <w:rFonts w:hint="eastAsia"/>
          <w:color w:val="000000" w:themeColor="text1"/>
          <w14:textFill>
            <w14:solidFill>
              <w14:schemeClr w14:val="tx1"/>
            </w14:solidFill>
          </w14:textFill>
        </w:rPr>
        <w:t>加密东北亚近洋航线，</w:t>
      </w:r>
      <w:r>
        <w:rPr>
          <w:rFonts w:hint="eastAsia" w:cs="Times New Roman"/>
          <w:color w:val="000000" w:themeColor="text1"/>
          <w:szCs w:val="32"/>
          <w14:textFill>
            <w14:solidFill>
              <w14:schemeClr w14:val="tx1"/>
            </w14:solidFill>
          </w14:textFill>
        </w:rPr>
        <w:t>拓展东南亚、澳洲、美洲等国际航线</w:t>
      </w:r>
      <w:bookmarkEnd w:id="75"/>
      <w:r>
        <w:rPr>
          <w:rFonts w:hint="eastAsia"/>
          <w:color w:val="000000" w:themeColor="text1"/>
          <w14:textFill>
            <w14:solidFill>
              <w14:schemeClr w14:val="tx1"/>
            </w14:solidFill>
          </w14:textFill>
        </w:rPr>
        <w:t>。</w:t>
      </w:r>
      <w:bookmarkStart w:id="76" w:name="OLE_LINK125"/>
      <w:bookmarkStart w:id="77" w:name="OLE_LINK129"/>
      <w:r>
        <w:rPr>
          <w:rFonts w:hint="eastAsia" w:cs="Times New Roman"/>
          <w:color w:val="000000" w:themeColor="text1"/>
          <w:szCs w:val="32"/>
          <w14:textFill>
            <w14:solidFill>
              <w14:schemeClr w14:val="tx1"/>
            </w14:solidFill>
          </w14:textFill>
        </w:rPr>
        <w:t>壮大南下通道，</w:t>
      </w:r>
      <w:r>
        <w:rPr>
          <w:rFonts w:hint="eastAsia"/>
          <w:color w:val="000000" w:themeColor="text1"/>
          <w14:textFill>
            <w14:solidFill>
              <w14:schemeClr w14:val="tx1"/>
            </w14:solidFill>
          </w14:textFill>
        </w:rPr>
        <w:t>加密至山东半岛、长三角内贸直达航线</w:t>
      </w:r>
      <w:bookmarkEnd w:id="76"/>
      <w:r>
        <w:rPr>
          <w:rFonts w:hint="eastAsia"/>
          <w:color w:val="000000" w:themeColor="text1"/>
          <w14:textFill>
            <w14:solidFill>
              <w14:schemeClr w14:val="tx1"/>
            </w14:solidFill>
          </w14:textFill>
        </w:rPr>
        <w:t>，</w:t>
      </w:r>
      <w:bookmarkStart w:id="78" w:name="OLE_LINK126"/>
      <w:r>
        <w:rPr>
          <w:rFonts w:hint="eastAsia"/>
          <w:color w:val="000000" w:themeColor="text1"/>
          <w14:textFill>
            <w14:solidFill>
              <w14:schemeClr w14:val="tx1"/>
            </w14:solidFill>
          </w14:textFill>
        </w:rPr>
        <w:t>推进与东南沿海及内陆城市群空中通道建设</w:t>
      </w:r>
      <w:bookmarkEnd w:id="77"/>
      <w:bookmarkEnd w:id="78"/>
      <w:r>
        <w:rPr>
          <w:rFonts w:hint="eastAsia"/>
          <w:color w:val="000000" w:themeColor="text1"/>
          <w14:textFill>
            <w14:solidFill>
              <w14:schemeClr w14:val="tx1"/>
            </w14:solidFill>
          </w14:textFill>
        </w:rPr>
        <w:t>。</w:t>
      </w:r>
      <w:bookmarkStart w:id="79" w:name="OLE_LINK131"/>
      <w:r>
        <w:rPr>
          <w:rFonts w:hint="eastAsia"/>
          <w:color w:val="000000" w:themeColor="text1"/>
          <w14:textFill>
            <w14:solidFill>
              <w14:schemeClr w14:val="tx1"/>
            </w14:solidFill>
          </w14:textFill>
        </w:rPr>
        <w:t>畅通进关通道，</w:t>
      </w:r>
      <w:r>
        <w:rPr>
          <w:rFonts w:hint="eastAsia" w:cs="Times New Roman"/>
          <w:color w:val="000000" w:themeColor="text1"/>
          <w:szCs w:val="32"/>
          <w14:textFill>
            <w14:solidFill>
              <w14:schemeClr w14:val="tx1"/>
            </w14:solidFill>
          </w14:textFill>
        </w:rPr>
        <w:t>加强与京津冀协同发展、丝绸之路经济带核心区衔接</w:t>
      </w:r>
      <w:r>
        <w:rPr>
          <w:rFonts w:hint="eastAsia"/>
          <w:color w:val="000000" w:themeColor="text1"/>
          <w14:textFill>
            <w14:solidFill>
              <w14:schemeClr w14:val="tx1"/>
            </w14:solidFill>
          </w14:textFill>
        </w:rPr>
        <w:t>，推动区域公路、铁路陆路运输网络提质升级</w:t>
      </w:r>
      <w:bookmarkEnd w:id="79"/>
      <w:r>
        <w:rPr>
          <w:rFonts w:hint="eastAsia"/>
          <w:color w:val="000000" w:themeColor="text1"/>
          <w14:textFill>
            <w14:solidFill>
              <w14:schemeClr w14:val="tx1"/>
            </w14:solidFill>
          </w14:textFill>
        </w:rPr>
        <w:t>。建设向北通道，进一步做强营口港至东北地区集装箱</w:t>
      </w:r>
      <w:r>
        <w:rPr>
          <w:color w:val="000000" w:themeColor="text1"/>
          <w14:textFill>
            <w14:solidFill>
              <w14:schemeClr w14:val="tx1"/>
            </w14:solidFill>
          </w14:textFill>
        </w:rPr>
        <w:t>班列</w:t>
      </w:r>
      <w:r>
        <w:rPr>
          <w:rFonts w:hint="eastAsia"/>
          <w:color w:val="000000" w:themeColor="text1"/>
          <w14:textFill>
            <w14:solidFill>
              <w14:schemeClr w14:val="tx1"/>
            </w14:solidFill>
          </w14:textFill>
        </w:rPr>
        <w:t>品牌，大力发展国际公路运输，构建</w:t>
      </w:r>
      <w:r>
        <w:rPr>
          <w:color w:val="000000" w:themeColor="text1"/>
          <w14:textFill>
            <w14:solidFill>
              <w14:schemeClr w14:val="tx1"/>
            </w14:solidFill>
          </w14:textFill>
        </w:rPr>
        <w:t>以营口港为物流组织中心、内陆港站为支点，覆盖东北、畅通欧亚的</w:t>
      </w:r>
      <w:r>
        <w:rPr>
          <w:rFonts w:hint="eastAsia"/>
          <w:color w:val="000000" w:themeColor="text1"/>
          <w14:textFill>
            <w14:solidFill>
              <w14:schemeClr w14:val="tx1"/>
            </w14:solidFill>
          </w14:textFill>
        </w:rPr>
        <w:t>国际物流通道。</w:t>
      </w:r>
    </w:p>
    <w:p>
      <w:pPr>
        <w:topLinePunct/>
        <w:spacing w:line="600" w:lineRule="exact"/>
        <w:ind w:firstLine="639" w:firstLineChars="199"/>
        <w:outlineLvl w:val="1"/>
        <w:rPr>
          <w:b/>
          <w:bCs/>
        </w:rPr>
      </w:pPr>
      <w:bookmarkStart w:id="80" w:name="_Toc232606928"/>
      <w:r>
        <w:rPr>
          <w:rFonts w:hint="eastAsia" w:ascii="楷体_GB2312" w:hAnsi="楷体_GB2312" w:eastAsia="楷体_GB2312" w:cs="楷体_GB2312"/>
          <w:b/>
          <w:color w:val="000000" w:themeColor="text1"/>
          <w:szCs w:val="32"/>
          <w14:textFill>
            <w14:solidFill>
              <w14:schemeClr w14:val="tx1"/>
            </w14:solidFill>
          </w14:textFill>
        </w:rPr>
        <w:t>（三）</w:t>
      </w:r>
      <w:bookmarkStart w:id="81" w:name="OLE_LINK10"/>
      <w:r>
        <w:rPr>
          <w:rFonts w:hint="eastAsia" w:ascii="楷体_GB2312" w:hAnsi="楷体_GB2312" w:eastAsia="楷体_GB2312" w:cs="楷体_GB2312"/>
          <w:b/>
          <w:color w:val="000000" w:themeColor="text1"/>
          <w:szCs w:val="32"/>
          <w14:textFill>
            <w14:solidFill>
              <w14:schemeClr w14:val="tx1"/>
            </w14:solidFill>
          </w14:textFill>
        </w:rPr>
        <w:t>加快全国一流枢纽强港建设</w:t>
      </w:r>
      <w:bookmarkEnd w:id="80"/>
    </w:p>
    <w:p>
      <w:pPr>
        <w:spacing w:line="600" w:lineRule="exact"/>
        <w:ind w:firstLine="643"/>
        <w:rPr>
          <w:rFonts w:cs="Times New Roman"/>
          <w:color w:val="000000" w:themeColor="text1"/>
          <w14:textFill>
            <w14:solidFill>
              <w14:schemeClr w14:val="tx1"/>
            </w14:solidFill>
          </w14:textFill>
        </w:rPr>
      </w:pPr>
      <w:bookmarkStart w:id="82" w:name="OLE_LINK136"/>
      <w:r>
        <w:rPr>
          <w:rFonts w:hint="eastAsia" w:cs="Times New Roman"/>
          <w:b/>
          <w:bCs/>
          <w:color w:val="000000" w:themeColor="text1"/>
          <w:szCs w:val="32"/>
          <w14:textFill>
            <w14:solidFill>
              <w14:schemeClr w14:val="tx1"/>
            </w14:solidFill>
          </w14:textFill>
        </w:rPr>
        <w:t>优化港区功能布局</w:t>
      </w:r>
      <w:bookmarkEnd w:id="82"/>
      <w:r>
        <w:rPr>
          <w:rFonts w:hint="eastAsia" w:cs="Times New Roman"/>
          <w:b/>
          <w:bCs/>
          <w:color w:val="000000" w:themeColor="text1"/>
          <w:szCs w:val="32"/>
          <w14:textFill>
            <w14:solidFill>
              <w14:schemeClr w14:val="tx1"/>
            </w14:solidFill>
          </w14:textFill>
        </w:rPr>
        <w:t>。</w:t>
      </w:r>
      <w:bookmarkStart w:id="83" w:name="OLE_LINK137"/>
      <w:r>
        <w:rPr>
          <w:rFonts w:hint="eastAsia" w:cs="Times New Roman"/>
          <w:color w:val="000000" w:themeColor="text1"/>
          <w14:textFill>
            <w14:solidFill>
              <w14:schemeClr w14:val="tx1"/>
            </w14:solidFill>
          </w14:textFill>
        </w:rPr>
        <w:t>加快构建以鲅鱼圈港区为主、仙人岛港区为辅的总体发展格局</w:t>
      </w:r>
      <w:bookmarkEnd w:id="83"/>
      <w:r>
        <w:rPr>
          <w:rFonts w:hint="eastAsia" w:cs="Times New Roman"/>
          <w:color w:val="000000" w:themeColor="text1"/>
          <w14:textFill>
            <w14:solidFill>
              <w14:schemeClr w14:val="tx1"/>
            </w14:solidFill>
          </w14:textFill>
        </w:rPr>
        <w:t>。</w:t>
      </w:r>
      <w:bookmarkStart w:id="84" w:name="OLE_LINK138"/>
      <w:r>
        <w:rPr>
          <w:rFonts w:hint="eastAsia" w:cs="Times New Roman"/>
          <w:color w:val="000000" w:themeColor="text1"/>
          <w14:textFill>
            <w14:solidFill>
              <w14:schemeClr w14:val="tx1"/>
            </w14:solidFill>
          </w14:textFill>
        </w:rPr>
        <w:t>提高鲅鱼圈港区矿石、集装箱、煤炭、钢铁、粮食等重点货类运输保障能力，提升港口设施专业化水平与现代物流服务水平，</w:t>
      </w:r>
      <w:bookmarkStart w:id="85" w:name="OLE_LINK140"/>
      <w:r>
        <w:rPr>
          <w:rFonts w:hint="eastAsia" w:cs="Times New Roman"/>
          <w:color w:val="000000" w:themeColor="text1"/>
          <w14:textFill>
            <w14:solidFill>
              <w14:schemeClr w14:val="tx1"/>
            </w14:solidFill>
          </w14:textFill>
        </w:rPr>
        <w:t>强化交通枢纽功能与临港产业联动发展</w:t>
      </w:r>
      <w:bookmarkEnd w:id="85"/>
      <w:r>
        <w:rPr>
          <w:rFonts w:hint="eastAsia" w:cs="Times New Roman"/>
          <w:color w:val="000000" w:themeColor="text1"/>
          <w14:textFill>
            <w14:solidFill>
              <w14:schemeClr w14:val="tx1"/>
            </w14:solidFill>
          </w14:textFill>
        </w:rPr>
        <w:t>，拓展战略物资储备功能。</w:t>
      </w:r>
      <w:bookmarkEnd w:id="84"/>
      <w:bookmarkStart w:id="86" w:name="OLE_LINK141"/>
      <w:r>
        <w:rPr>
          <w:rFonts w:hint="eastAsia" w:cs="Times New Roman"/>
          <w:color w:val="000000" w:themeColor="text1"/>
          <w14:textFill>
            <w14:solidFill>
              <w14:schemeClr w14:val="tx1"/>
            </w14:solidFill>
          </w14:textFill>
        </w:rPr>
        <w:t>加快仙人岛港区油品、液体化工品码头建设，打造原油、成品油及液体化工品、LNG中转、储运和贸易的专业化港区</w:t>
      </w:r>
      <w:bookmarkEnd w:id="86"/>
      <w:r>
        <w:rPr>
          <w:rFonts w:hint="eastAsia" w:cs="Times New Roman"/>
          <w:color w:val="000000" w:themeColor="text1"/>
          <w14:textFill>
            <w14:solidFill>
              <w14:schemeClr w14:val="tx1"/>
            </w14:solidFill>
          </w14:textFill>
        </w:rPr>
        <w:t>。有序推进</w:t>
      </w:r>
      <w:bookmarkStart w:id="87" w:name="OLE_LINK142"/>
      <w:r>
        <w:rPr>
          <w:rFonts w:hint="eastAsia" w:cs="Times New Roman"/>
          <w:color w:val="000000" w:themeColor="text1"/>
          <w14:textFill>
            <w14:solidFill>
              <w14:schemeClr w14:val="tx1"/>
            </w14:solidFill>
          </w14:textFill>
        </w:rPr>
        <w:t>老港区功能调整，积极发展旅游客运，兼顾部分货物运输。</w:t>
      </w:r>
      <w:bookmarkEnd w:id="87"/>
    </w:p>
    <w:p>
      <w:pPr>
        <w:spacing w:line="600" w:lineRule="exact"/>
        <w:ind w:firstLine="643"/>
        <w:rPr>
          <w:rFonts w:cs="Times New Roman"/>
          <w:color w:val="000000" w:themeColor="text1"/>
          <w14:textFill>
            <w14:solidFill>
              <w14:schemeClr w14:val="tx1"/>
            </w14:solidFill>
          </w14:textFill>
        </w:rPr>
      </w:pPr>
      <w:r>
        <w:rPr>
          <w:rFonts w:hint="eastAsia" w:cs="Times New Roman"/>
          <w:b/>
          <w:bCs/>
          <w:color w:val="000000" w:themeColor="text1"/>
          <w:szCs w:val="32"/>
          <w14:textFill>
            <w14:solidFill>
              <w14:schemeClr w14:val="tx1"/>
            </w14:solidFill>
          </w14:textFill>
        </w:rPr>
        <w:t>强化港口基础设施建设。</w:t>
      </w:r>
      <w:r>
        <w:rPr>
          <w:rFonts w:hint="eastAsia" w:cs="Times New Roman"/>
          <w:color w:val="000000" w:themeColor="text1"/>
          <w:szCs w:val="32"/>
          <w14:textFill>
            <w14:solidFill>
              <w14:schemeClr w14:val="tx1"/>
            </w14:solidFill>
          </w14:textFill>
        </w:rPr>
        <w:t>加快</w:t>
      </w:r>
      <w:r>
        <w:rPr>
          <w:rFonts w:cs="Times New Roman"/>
          <w:color w:val="000000" w:themeColor="text1"/>
          <w:szCs w:val="32"/>
          <w14:textFill>
            <w14:solidFill>
              <w14:schemeClr w14:val="tx1"/>
            </w14:solidFill>
          </w14:textFill>
        </w:rPr>
        <w:t>提升港口能级，完善集装箱、矿石、粮食等运输系统，提高港口综合通过能力。有序推进专业化泊位、重点产业配套泊位新建工程，实施鲅鱼圈港区大型散货矿石码头、鲅鱼圈港区钢铁基地作业区杂货泊位等项目。强化现有泊位提质升级</w:t>
      </w:r>
      <w:r>
        <w:rPr>
          <w:rFonts w:hint="eastAsia" w:cs="Times New Roman"/>
          <w:color w:val="000000" w:themeColor="text1"/>
          <w:szCs w:val="32"/>
          <w14:textFill>
            <w14:solidFill>
              <w14:schemeClr w14:val="tx1"/>
            </w14:solidFill>
          </w14:textFill>
        </w:rPr>
        <w:t>及</w:t>
      </w:r>
      <w:r>
        <w:rPr>
          <w:rFonts w:cs="Times New Roman"/>
          <w:color w:val="000000" w:themeColor="text1"/>
          <w:szCs w:val="32"/>
          <w14:textFill>
            <w14:solidFill>
              <w14:schemeClr w14:val="tx1"/>
            </w14:solidFill>
          </w14:textFill>
        </w:rPr>
        <w:t>数智化改造，实施鲅鱼圈港区钢杂泊位改造二期工程、粮食泊位升级改造等项目。加强航道、锚地等公共基础设施建设。积极参与内河航道研究论证，重启老港区1#码头泊位。完善港口集疏运体系，推进鲅鱼圈港区疏港高速公路运营通车，进一步畅通疏港铁路</w:t>
      </w:r>
      <w:r>
        <w:rPr>
          <w:rFonts w:hint="eastAsia" w:cs="Times New Roman"/>
          <w:color w:val="000000" w:themeColor="text1"/>
          <w:szCs w:val="32"/>
          <w14:textFill>
            <w14:solidFill>
              <w14:schemeClr w14:val="tx1"/>
            </w14:solidFill>
          </w14:textFill>
        </w:rPr>
        <w:t>“最后一公里”</w:t>
      </w:r>
      <w:r>
        <w:rPr>
          <w:rFonts w:cs="Times New Roman"/>
          <w:color w:val="000000" w:themeColor="text1"/>
          <w:szCs w:val="32"/>
          <w14:textFill>
            <w14:solidFill>
              <w14:schemeClr w14:val="tx1"/>
            </w14:solidFill>
          </w14:textFill>
        </w:rPr>
        <w:t>。</w:t>
      </w:r>
    </w:p>
    <w:p>
      <w:pPr>
        <w:spacing w:line="600" w:lineRule="exact"/>
        <w:ind w:firstLine="643"/>
        <w:rPr>
          <w:rFonts w:cs="Times New Roman"/>
          <w:color w:val="000000" w:themeColor="text1"/>
          <w14:textFill>
            <w14:solidFill>
              <w14:schemeClr w14:val="tx1"/>
            </w14:solidFill>
          </w14:textFill>
        </w:rPr>
      </w:pPr>
      <w:r>
        <w:rPr>
          <w:rFonts w:hint="eastAsia" w:cs="Times New Roman"/>
          <w:b/>
          <w:bCs/>
          <w:color w:val="000000" w:themeColor="text1"/>
          <w:szCs w:val="32"/>
          <w14:textFill>
            <w14:solidFill>
              <w14:schemeClr w14:val="tx1"/>
            </w14:solidFill>
          </w14:textFill>
        </w:rPr>
        <w:t>巩固内贸集装箱枢纽龙头地位。</w:t>
      </w:r>
      <w:r>
        <w:rPr>
          <w:rFonts w:hint="eastAsia" w:cs="Times New Roman"/>
          <w:color w:val="000000" w:themeColor="text1"/>
          <w14:textFill>
            <w14:solidFill>
              <w14:schemeClr w14:val="tx1"/>
            </w14:solidFill>
          </w14:textFill>
        </w:rPr>
        <w:t>织密内贸集装箱航线网络，打造“营口—南沙”“营口—上海”等精品航线，开通“</w:t>
      </w:r>
      <w:r>
        <w:rPr>
          <w:rFonts w:cs="Times New Roman"/>
          <w:color w:val="000000" w:themeColor="text1"/>
          <w14:textFill>
            <w14:solidFill>
              <w14:schemeClr w14:val="tx1"/>
            </w14:solidFill>
          </w14:textFill>
        </w:rPr>
        <w:t>营口</w:t>
      </w:r>
      <w:r>
        <w:rPr>
          <w:rFonts w:hint="eastAsia" w:cs="Times New Roman"/>
          <w:color w:val="000000" w:themeColor="text1"/>
          <w14:textFill>
            <w14:solidFill>
              <w14:schemeClr w14:val="tx1"/>
            </w14:solidFill>
          </w14:textFill>
        </w:rPr>
        <w:t>—</w:t>
      </w:r>
      <w:r>
        <w:rPr>
          <w:rFonts w:cs="Times New Roman"/>
          <w:color w:val="000000" w:themeColor="text1"/>
          <w14:textFill>
            <w14:solidFill>
              <w14:schemeClr w14:val="tx1"/>
            </w14:solidFill>
          </w14:textFill>
        </w:rPr>
        <w:t>泰州</w:t>
      </w:r>
      <w:r>
        <w:rPr>
          <w:rFonts w:hint="eastAsia" w:cs="Times New Roman"/>
          <w:color w:val="000000" w:themeColor="text1"/>
          <w14:textFill>
            <w14:solidFill>
              <w14:schemeClr w14:val="tx1"/>
            </w14:solidFill>
          </w14:textFill>
        </w:rPr>
        <w:t>”航线，加密“</w:t>
      </w:r>
      <w:r>
        <w:rPr>
          <w:rFonts w:cs="Times New Roman"/>
          <w:color w:val="000000" w:themeColor="text1"/>
          <w14:textFill>
            <w14:solidFill>
              <w14:schemeClr w14:val="tx1"/>
            </w14:solidFill>
          </w14:textFill>
        </w:rPr>
        <w:t>营口</w:t>
      </w:r>
      <w:r>
        <w:rPr>
          <w:rFonts w:hint="eastAsia" w:cs="Times New Roman"/>
          <w:color w:val="000000" w:themeColor="text1"/>
          <w14:textFill>
            <w14:solidFill>
              <w14:schemeClr w14:val="tx1"/>
            </w14:solidFill>
          </w14:textFill>
        </w:rPr>
        <w:t>—</w:t>
      </w:r>
      <w:r>
        <w:rPr>
          <w:rFonts w:cs="Times New Roman"/>
          <w:color w:val="000000" w:themeColor="text1"/>
          <w14:textFill>
            <w14:solidFill>
              <w14:schemeClr w14:val="tx1"/>
            </w14:solidFill>
          </w14:textFill>
        </w:rPr>
        <w:t>南京</w:t>
      </w:r>
      <w:r>
        <w:rPr>
          <w:rFonts w:hint="eastAsia" w:cs="Times New Roman"/>
          <w:color w:val="000000" w:themeColor="text1"/>
          <w14:textFill>
            <w14:solidFill>
              <w14:schemeClr w14:val="tx1"/>
            </w14:solidFill>
          </w14:textFill>
        </w:rPr>
        <w:t>”航线，</w:t>
      </w:r>
      <w:r>
        <w:rPr>
          <w:rFonts w:cs="Times New Roman"/>
          <w:color w:val="000000" w:themeColor="text1"/>
          <w14:textFill>
            <w14:solidFill>
              <w14:schemeClr w14:val="tx1"/>
            </w14:solidFill>
          </w14:textFill>
        </w:rPr>
        <w:t>探索打造经陇海铁路—连云港港—营口港—东北铁路干线网的双向海铁联运物流通道</w:t>
      </w:r>
      <w:r>
        <w:rPr>
          <w:rFonts w:hint="eastAsia" w:cs="Times New Roman"/>
          <w:color w:val="000000" w:themeColor="text1"/>
          <w14:textFill>
            <w14:solidFill>
              <w14:schemeClr w14:val="tx1"/>
            </w14:solidFill>
          </w14:textFill>
        </w:rPr>
        <w:t>，</w:t>
      </w:r>
      <w:r>
        <w:rPr>
          <w:rFonts w:cs="Times New Roman"/>
          <w:color w:val="000000" w:themeColor="text1"/>
          <w14:textFill>
            <w14:solidFill>
              <w14:schemeClr w14:val="tx1"/>
            </w14:solidFill>
          </w14:textFill>
        </w:rPr>
        <w:t>吸引环渤海集装箱货源向营口港中转集散。</w:t>
      </w:r>
    </w:p>
    <w:bookmarkEnd w:id="81"/>
    <w:p>
      <w:pPr>
        <w:spacing w:line="600" w:lineRule="exact"/>
        <w:ind w:firstLine="643"/>
        <w:rPr>
          <w:rFonts w:cs="Times New Roman"/>
          <w:color w:val="000000" w:themeColor="text1"/>
          <w:szCs w:val="32"/>
          <w14:textFill>
            <w14:solidFill>
              <w14:schemeClr w14:val="tx1"/>
            </w14:solidFill>
          </w14:textFill>
        </w:rPr>
      </w:pPr>
      <w:r>
        <w:rPr>
          <w:rFonts w:hint="eastAsia" w:cs="Times New Roman"/>
          <w:b/>
          <w:bCs/>
          <w:color w:val="000000" w:themeColor="text1"/>
          <w:szCs w:val="32"/>
          <w14:textFill>
            <w14:solidFill>
              <w14:schemeClr w14:val="tx1"/>
            </w14:solidFill>
          </w14:textFill>
        </w:rPr>
        <w:t>深化“港产城”融合发展。</w:t>
      </w:r>
      <w:r>
        <w:rPr>
          <w:rFonts w:hint="eastAsia" w:cs="Times New Roman"/>
          <w:color w:val="000000" w:themeColor="text1"/>
          <w:szCs w:val="32"/>
          <w14:textFill>
            <w14:solidFill>
              <w14:schemeClr w14:val="tx1"/>
            </w14:solidFill>
          </w14:textFill>
        </w:rPr>
        <w:t>大力推进港产城、港航贸一体化，</w:t>
      </w:r>
      <w:r>
        <w:rPr>
          <w:rFonts w:hint="eastAsia" w:ascii="仿宋_GB2312" w:hAnsi="仿宋_GB2312" w:cs="仿宋_GB2312"/>
          <w:szCs w:val="32"/>
        </w:rPr>
        <w:t>加强港口与东北腹地产业深度融合，</w:t>
      </w:r>
      <w:r>
        <w:rPr>
          <w:rFonts w:ascii="仿宋_GB2312" w:hAnsi="仿宋_GB2312" w:cs="仿宋_GB2312"/>
          <w:szCs w:val="32"/>
        </w:rPr>
        <w:t>推进建设新能源、精细化工、粮食深加工等临港产业集聚落地</w:t>
      </w:r>
      <w:r>
        <w:rPr>
          <w:rFonts w:hint="eastAsia" w:ascii="仿宋_GB2312" w:hAnsi="仿宋_GB2312" w:cs="仿宋_GB2312"/>
          <w:szCs w:val="32"/>
        </w:rPr>
        <w:t>。</w:t>
      </w:r>
      <w:r>
        <w:rPr>
          <w:rFonts w:hint="eastAsia" w:cs="Times New Roman"/>
          <w:color w:val="000000" w:themeColor="text1"/>
          <w:szCs w:val="32"/>
          <w14:textFill>
            <w14:solidFill>
              <w14:schemeClr w14:val="tx1"/>
            </w14:solidFill>
          </w14:textFill>
        </w:rPr>
        <w:t>积极争取国家在营口港布局大宗商品国家储运基地，打造国家级钢材转运交易中心与国家级矿石加工交易基地，提升钢材、铁矿石等物资供应链一体化服务水平。建立东北粮食物流与贸易中心，拓展营口港玉米期货交割业务。探索煤炭保税混配、保税筛分、临港洗煤等业务，推进鲅鱼圈港区专业化煤炭堆场等配套设施建设。强化与新能源等新兴产业融合发展，推进营口清洁能源高端装备产业园配套码头及北海作业区通用泊位建设。</w:t>
      </w:r>
      <w:r>
        <w:rPr>
          <w:rFonts w:cs="Times New Roman"/>
          <w:color w:val="000000" w:themeColor="text1"/>
          <w:szCs w:val="32"/>
          <w14:textFill>
            <w14:solidFill>
              <w14:schemeClr w14:val="tx1"/>
            </w14:solidFill>
          </w14:textFill>
        </w:rPr>
        <w:br w:type="page"/>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000" w:type="pct"/>
          </w:tcPr>
          <w:p>
            <w:pPr>
              <w:spacing w:line="240" w:lineRule="auto"/>
              <w:ind w:firstLine="0" w:firstLineChars="0"/>
              <w:jc w:val="center"/>
              <w:rPr>
                <w:b/>
                <w:bCs/>
                <w:color w:val="000000" w:themeColor="text1"/>
                <w:kern w:val="0"/>
                <w:sz w:val="20"/>
                <w:szCs w:val="20"/>
                <w14:textFill>
                  <w14:solidFill>
                    <w14:schemeClr w14:val="tx1"/>
                  </w14:solidFill>
                </w14:textFill>
              </w:rPr>
            </w:pPr>
            <w:r>
              <w:rPr>
                <w:b/>
                <w:bCs/>
                <w:color w:val="000000" w:themeColor="text1"/>
                <w:kern w:val="0"/>
                <w:sz w:val="28"/>
                <w:szCs w:val="28"/>
                <w14:textFill>
                  <w14:solidFill>
                    <w14:schemeClr w14:val="tx1"/>
                  </w14:solidFill>
                </w14:textFill>
              </w:rPr>
              <w:t>专栏2</w:t>
            </w:r>
            <w:r>
              <w:rPr>
                <w:rFonts w:hint="eastAsia"/>
                <w:b/>
                <w:bCs/>
                <w:color w:val="000000" w:themeColor="text1"/>
                <w:kern w:val="0"/>
                <w:sz w:val="28"/>
                <w:szCs w:val="28"/>
                <w14:textFill>
                  <w14:solidFill>
                    <w14:schemeClr w14:val="tx1"/>
                  </w14:solidFill>
                </w14:textFill>
              </w:rPr>
              <w:t xml:space="preserve"> 港口建设项目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Pr>
          <w:p>
            <w:pPr>
              <w:spacing w:line="440" w:lineRule="exact"/>
              <w:ind w:firstLine="562"/>
              <w:rPr>
                <w:rFonts w:cs="Times New Roman"/>
                <w:color w:val="000000" w:themeColor="text1"/>
                <w:sz w:val="28"/>
                <w:szCs w:val="28"/>
                <w14:textFill>
                  <w14:solidFill>
                    <w14:schemeClr w14:val="tx1"/>
                  </w14:solidFill>
                </w14:textFill>
              </w:rPr>
            </w:pPr>
            <w:r>
              <w:rPr>
                <w:rFonts w:hint="eastAsia" w:cs="Times New Roman"/>
                <w:b/>
                <w:bCs/>
                <w:color w:val="000000" w:themeColor="text1"/>
                <w:sz w:val="28"/>
                <w:szCs w:val="28"/>
                <w14:textFill>
                  <w14:solidFill>
                    <w14:schemeClr w14:val="tx1"/>
                  </w14:solidFill>
                </w14:textFill>
              </w:rPr>
              <w:t>港口公共基础设施。</w:t>
            </w:r>
            <w:r>
              <w:rPr>
                <w:rFonts w:hint="eastAsia" w:cs="Times New Roman"/>
                <w:color w:val="000000" w:themeColor="text1"/>
                <w:sz w:val="28"/>
                <w:szCs w:val="28"/>
                <w14:textFill>
                  <w14:solidFill>
                    <w14:schemeClr w14:val="tx1"/>
                  </w14:solidFill>
                </w14:textFill>
              </w:rPr>
              <w:t>推动鲅鱼圈港区北海作业区万吨级航道、营口港深水锚地工程建设。</w:t>
            </w:r>
          </w:p>
          <w:p>
            <w:pPr>
              <w:spacing w:line="440" w:lineRule="exact"/>
              <w:ind w:firstLine="562"/>
              <w:rPr>
                <w:rFonts w:cs="Times New Roman"/>
                <w:color w:val="000000" w:themeColor="text1"/>
                <w:sz w:val="28"/>
                <w:szCs w:val="28"/>
                <w14:textFill>
                  <w14:solidFill>
                    <w14:schemeClr w14:val="tx1"/>
                  </w14:solidFill>
                </w14:textFill>
              </w:rPr>
            </w:pPr>
            <w:r>
              <w:rPr>
                <w:rFonts w:hint="eastAsia" w:cs="Times New Roman"/>
                <w:b/>
                <w:bCs/>
                <w:color w:val="000000" w:themeColor="text1"/>
                <w:sz w:val="28"/>
                <w:szCs w:val="28"/>
                <w14:textFill>
                  <w14:solidFill>
                    <w14:schemeClr w14:val="tx1"/>
                  </w14:solidFill>
                </w14:textFill>
              </w:rPr>
              <w:t>专业化码头泊位。</w:t>
            </w:r>
            <w:r>
              <w:rPr>
                <w:rFonts w:hint="eastAsia" w:cs="Times New Roman"/>
                <w:color w:val="000000" w:themeColor="text1"/>
                <w:sz w:val="28"/>
                <w:szCs w:val="28"/>
                <w14:textFill>
                  <w14:solidFill>
                    <w14:schemeClr w14:val="tx1"/>
                  </w14:solidFill>
                </w14:textFill>
              </w:rPr>
              <w:t>加快建设鲅鱼圈港区大宗散货码头及堆场改造工程、74-75#通用泊位工程，推动钢铁基地作业区杂货泊位工程等项目建设，实施钢杂泊位二期改造工程、51#粮食专用泊位改造工程，推进36-38#粮食泊位、14-15#成品油和液体化工品泊位、61-63#钢杂泊位、A7-A8#泊位等升级改造。加快建设仙人岛港区</w:t>
            </w:r>
            <w:r>
              <w:rPr>
                <w:rFonts w:cs="Times New Roman"/>
                <w:color w:val="000000" w:themeColor="text1"/>
                <w:sz w:val="28"/>
                <w:szCs w:val="28"/>
                <w14:textFill>
                  <w14:solidFill>
                    <w14:schemeClr w14:val="tx1"/>
                  </w14:solidFill>
                </w14:textFill>
              </w:rPr>
              <w:t>2#</w:t>
            </w:r>
            <w:r>
              <w:rPr>
                <w:rFonts w:hint="eastAsia" w:cs="Times New Roman"/>
                <w:color w:val="000000" w:themeColor="text1"/>
                <w:sz w:val="28"/>
                <w:szCs w:val="28"/>
                <w14:textFill>
                  <w14:solidFill>
                    <w14:schemeClr w14:val="tx1"/>
                  </w14:solidFill>
                </w14:textFill>
              </w:rPr>
              <w:t>原油码头、</w:t>
            </w:r>
            <w:r>
              <w:rPr>
                <w:rFonts w:cs="Times New Roman"/>
                <w:color w:val="000000" w:themeColor="text1"/>
                <w:sz w:val="28"/>
                <w:szCs w:val="28"/>
                <w14:textFill>
                  <w14:solidFill>
                    <w14:schemeClr w14:val="tx1"/>
                  </w14:solidFill>
                </w14:textFill>
              </w:rPr>
              <w:t>LNG</w:t>
            </w:r>
            <w:r>
              <w:rPr>
                <w:rFonts w:hint="eastAsia" w:cs="Times New Roman"/>
                <w:color w:val="000000" w:themeColor="text1"/>
                <w:sz w:val="28"/>
                <w:szCs w:val="28"/>
                <w14:textFill>
                  <w14:solidFill>
                    <w14:schemeClr w14:val="tx1"/>
                  </w14:solidFill>
                </w14:textFill>
              </w:rPr>
              <w:t>接收站配套码头工程，推动一港池</w:t>
            </w:r>
            <w:r>
              <w:rPr>
                <w:rFonts w:cs="Times New Roman"/>
                <w:color w:val="000000" w:themeColor="text1"/>
                <w:sz w:val="28"/>
                <w:szCs w:val="28"/>
                <w14:textFill>
                  <w14:solidFill>
                    <w14:schemeClr w14:val="tx1"/>
                  </w14:solidFill>
                </w14:textFill>
              </w:rPr>
              <w:t>4#</w:t>
            </w:r>
            <w:r>
              <w:rPr>
                <w:rFonts w:hint="eastAsia" w:cs="Times New Roman"/>
                <w:color w:val="000000" w:themeColor="text1"/>
                <w:sz w:val="28"/>
                <w:szCs w:val="28"/>
                <w14:textFill>
                  <w14:solidFill>
                    <w14:schemeClr w14:val="tx1"/>
                  </w14:solidFill>
                </w14:textFill>
              </w:rPr>
              <w:t>成品油及液体化工品泊位建设，推进201-203#通用及多用途泊位升级改造。重启营口老港区</w:t>
            </w:r>
            <w:r>
              <w:rPr>
                <w:rFonts w:cs="Times New Roman"/>
                <w:color w:val="000000" w:themeColor="text1"/>
                <w:sz w:val="28"/>
                <w:szCs w:val="28"/>
                <w14:textFill>
                  <w14:solidFill>
                    <w14:schemeClr w14:val="tx1"/>
                  </w14:solidFill>
                </w14:textFill>
              </w:rPr>
              <w:t>101</w:t>
            </w:r>
            <w:r>
              <w:rPr>
                <w:rFonts w:hint="eastAsia" w:cs="Times New Roman"/>
                <w:color w:val="000000" w:themeColor="text1"/>
                <w:sz w:val="28"/>
                <w:szCs w:val="28"/>
                <w14:textFill>
                  <w14:solidFill>
                    <w14:schemeClr w14:val="tx1"/>
                  </w14:solidFill>
                </w14:textFill>
              </w:rPr>
              <w:t>号、</w:t>
            </w:r>
            <w:r>
              <w:rPr>
                <w:rFonts w:cs="Times New Roman"/>
                <w:color w:val="000000" w:themeColor="text1"/>
                <w:sz w:val="28"/>
                <w:szCs w:val="28"/>
                <w14:textFill>
                  <w14:solidFill>
                    <w14:schemeClr w14:val="tx1"/>
                  </w14:solidFill>
                </w14:textFill>
              </w:rPr>
              <w:t>102</w:t>
            </w:r>
            <w:r>
              <w:rPr>
                <w:rFonts w:hint="eastAsia" w:cs="Times New Roman"/>
                <w:color w:val="000000" w:themeColor="text1"/>
                <w:sz w:val="28"/>
                <w:szCs w:val="28"/>
                <w14:textFill>
                  <w14:solidFill>
                    <w14:schemeClr w14:val="tx1"/>
                  </w14:solidFill>
                </w14:textFill>
              </w:rPr>
              <w:t>号泊位。</w:t>
            </w:r>
          </w:p>
          <w:p>
            <w:pPr>
              <w:spacing w:line="440" w:lineRule="exact"/>
              <w:ind w:firstLine="562"/>
              <w:rPr>
                <w:rFonts w:cs="Times New Roman"/>
                <w:color w:val="000000" w:themeColor="text1"/>
                <w:sz w:val="28"/>
                <w:szCs w:val="28"/>
                <w14:textFill>
                  <w14:solidFill>
                    <w14:schemeClr w14:val="tx1"/>
                  </w14:solidFill>
                </w14:textFill>
              </w:rPr>
            </w:pPr>
            <w:r>
              <w:rPr>
                <w:rFonts w:hint="eastAsia" w:cs="Times New Roman"/>
                <w:b/>
                <w:bCs/>
                <w:color w:val="000000" w:themeColor="text1"/>
                <w:sz w:val="28"/>
                <w:szCs w:val="28"/>
                <w14:textFill>
                  <w14:solidFill>
                    <w14:schemeClr w14:val="tx1"/>
                  </w14:solidFill>
                </w14:textFill>
              </w:rPr>
              <w:t>港口集疏运体系。</w:t>
            </w:r>
            <w:r>
              <w:rPr>
                <w:rFonts w:hint="eastAsia" w:cs="Times New Roman"/>
                <w:color w:val="000000" w:themeColor="text1"/>
                <w:sz w:val="28"/>
                <w:szCs w:val="28"/>
                <w14:textFill>
                  <w14:solidFill>
                    <w14:schemeClr w14:val="tx1"/>
                  </w14:solidFill>
                </w14:textFill>
              </w:rPr>
              <w:t>加快建设鲅鱼圈港区疏港高速公路及金港连接段工程，推动仙人岛港区原油管线连通项目建设，谋划仙人岛港区疏港铁路。</w:t>
            </w:r>
          </w:p>
          <w:p>
            <w:pPr>
              <w:spacing w:line="440" w:lineRule="exact"/>
              <w:ind w:firstLine="562"/>
              <w:rPr>
                <w:color w:val="000000" w:themeColor="text1"/>
                <w:sz w:val="24"/>
                <w:szCs w:val="24"/>
                <w14:textFill>
                  <w14:solidFill>
                    <w14:schemeClr w14:val="tx1"/>
                  </w14:solidFill>
                </w14:textFill>
              </w:rPr>
            </w:pPr>
            <w:r>
              <w:rPr>
                <w:rFonts w:hint="eastAsia" w:cs="Times New Roman"/>
                <w:b/>
                <w:bCs/>
                <w:color w:val="000000" w:themeColor="text1"/>
                <w:sz w:val="28"/>
                <w:szCs w:val="28"/>
                <w14:textFill>
                  <w14:solidFill>
                    <w14:schemeClr w14:val="tx1"/>
                  </w14:solidFill>
                </w14:textFill>
              </w:rPr>
              <w:t>“港产城”融合发展项目。</w:t>
            </w:r>
            <w:r>
              <w:rPr>
                <w:rFonts w:hint="eastAsia" w:cs="Times New Roman"/>
                <w:color w:val="000000" w:themeColor="text1"/>
                <w:sz w:val="28"/>
                <w:szCs w:val="28"/>
                <w14:textFill>
                  <w14:solidFill>
                    <w14:schemeClr w14:val="tx1"/>
                  </w14:solidFill>
                </w14:textFill>
              </w:rPr>
              <w:t>建设营口国家级钢材转运交易中心，打造东北亚外贸钢材基本港。建设营口国家级矿石转运基地，推进鲅鱼圈港区2个3</w:t>
            </w:r>
            <w:r>
              <w:rPr>
                <w:rFonts w:cs="Times New Roman"/>
                <w:color w:val="000000" w:themeColor="text1"/>
                <w:sz w:val="28"/>
                <w:szCs w:val="28"/>
                <w14:textFill>
                  <w14:solidFill>
                    <w14:schemeClr w14:val="tx1"/>
                  </w14:solidFill>
                </w14:textFill>
              </w:rPr>
              <w:t>0</w:t>
            </w:r>
            <w:r>
              <w:rPr>
                <w:rFonts w:hint="eastAsia" w:cs="Times New Roman"/>
                <w:color w:val="000000" w:themeColor="text1"/>
                <w:sz w:val="28"/>
                <w:szCs w:val="28"/>
                <w14:textFill>
                  <w14:solidFill>
                    <w14:schemeClr w14:val="tx1"/>
                  </w14:solidFill>
                </w14:textFill>
              </w:rPr>
              <w:t>万吨级矿石码头建设。建立东北粮食物流与贸易中心，推进鲅鱼圈港区专业化煤炭堆场、营口清洁能源高端装备产业园配套码头、北海作业区万吨级码头建设。</w:t>
            </w:r>
          </w:p>
        </w:tc>
      </w:tr>
    </w:tbl>
    <w:p>
      <w:pPr>
        <w:topLinePunct/>
        <w:spacing w:line="600" w:lineRule="exact"/>
        <w:ind w:firstLine="639" w:firstLineChars="199"/>
        <w:outlineLvl w:val="1"/>
        <w:rPr>
          <w:b/>
          <w:bCs/>
        </w:rPr>
      </w:pPr>
      <w:bookmarkStart w:id="88" w:name="_Toc232606929"/>
      <w:r>
        <w:rPr>
          <w:rFonts w:hint="eastAsia" w:ascii="楷体_GB2312" w:hAnsi="楷体_GB2312" w:eastAsia="楷体_GB2312" w:cs="楷体_GB2312"/>
          <w:b/>
          <w:color w:val="000000" w:themeColor="text1"/>
          <w:szCs w:val="32"/>
          <w14:textFill>
            <w14:solidFill>
              <w14:schemeClr w14:val="tx1"/>
            </w14:solidFill>
          </w14:textFill>
        </w:rPr>
        <w:t>（四）</w:t>
      </w:r>
      <w:bookmarkStart w:id="89" w:name="_Hlk205651445"/>
      <w:r>
        <w:rPr>
          <w:rFonts w:hint="eastAsia" w:ascii="楷体_GB2312" w:hAnsi="楷体_GB2312" w:eastAsia="楷体_GB2312" w:cs="楷体_GB2312"/>
          <w:b/>
          <w:color w:val="000000" w:themeColor="text1"/>
          <w:szCs w:val="32"/>
          <w14:textFill>
            <w14:solidFill>
              <w14:schemeClr w14:val="tx1"/>
            </w14:solidFill>
          </w14:textFill>
        </w:rPr>
        <w:t>推动区域枢纽机场建设</w:t>
      </w:r>
      <w:bookmarkEnd w:id="88"/>
    </w:p>
    <w:p>
      <w:pPr>
        <w:spacing w:line="600" w:lineRule="exact"/>
        <w:ind w:firstLine="640"/>
        <w:rPr>
          <w:rFonts w:cs="Times New Roman"/>
          <w:color w:val="000000" w:themeColor="text1"/>
          <w:szCs w:val="32"/>
          <w14:textFill>
            <w14:solidFill>
              <w14:schemeClr w14:val="tx1"/>
            </w14:solidFill>
          </w14:textFill>
        </w:rPr>
      </w:pPr>
      <w:r>
        <w:rPr>
          <w:rFonts w:cs="Times New Roman"/>
          <w:color w:val="000000" w:themeColor="text1"/>
          <w:szCs w:val="32"/>
          <w14:textFill>
            <w14:solidFill>
              <w14:schemeClr w14:val="tx1"/>
            </w14:solidFill>
          </w14:textFill>
        </w:rPr>
        <w:t>提升航空安全保障和运行服务能力，</w:t>
      </w:r>
      <w:r>
        <w:rPr>
          <w:rFonts w:hint="eastAsia" w:cs="Times New Roman"/>
          <w:bCs/>
          <w:color w:val="000000" w:themeColor="text1"/>
          <w:szCs w:val="32"/>
          <w14:textFill>
            <w14:solidFill>
              <w14:schemeClr w14:val="tx1"/>
            </w14:solidFill>
          </w14:textFill>
        </w:rPr>
        <w:t>推动</w:t>
      </w:r>
      <w:r>
        <w:rPr>
          <w:rFonts w:cs="Times New Roman"/>
          <w:bCs/>
          <w:color w:val="000000" w:themeColor="text1"/>
          <w:szCs w:val="32"/>
          <w14:textFill>
            <w14:solidFill>
              <w14:schemeClr w14:val="tx1"/>
            </w14:solidFill>
          </w14:textFill>
        </w:rPr>
        <w:t>营口机场安检设备更新升级</w:t>
      </w:r>
      <w:r>
        <w:rPr>
          <w:rFonts w:hint="eastAsia" w:cs="Times New Roman"/>
          <w:bCs/>
          <w:color w:val="000000" w:themeColor="text1"/>
          <w:szCs w:val="32"/>
          <w14:textFill>
            <w14:solidFill>
              <w14:schemeClr w14:val="tx1"/>
            </w14:solidFill>
          </w14:textFill>
        </w:rPr>
        <w:t>。完善机场通航保障设施，建设兰旗机场通航机库，</w:t>
      </w:r>
      <w:r>
        <w:rPr>
          <w:rFonts w:hint="eastAsia" w:cs="Times New Roman"/>
          <w:color w:val="000000" w:themeColor="text1"/>
          <w:szCs w:val="32"/>
          <w14:textFill>
            <w14:solidFill>
              <w14:schemeClr w14:val="tx1"/>
            </w14:solidFill>
          </w14:textFill>
        </w:rPr>
        <w:t>增强</w:t>
      </w:r>
      <w:r>
        <w:rPr>
          <w:rFonts w:hint="eastAsia" w:ascii="仿宋_GB2312" w:hAnsi="仿宋_GB2312" w:cs="仿宋_GB2312"/>
          <w:color w:val="000000" w:themeColor="text1"/>
          <w:lang w:bidi="ar"/>
          <w14:textFill>
            <w14:solidFill>
              <w14:schemeClr w14:val="tx1"/>
            </w14:solidFill>
          </w14:textFill>
        </w:rPr>
        <w:t>对电动垂直起降飞行器</w:t>
      </w:r>
      <w:r>
        <w:rPr>
          <w:rFonts w:cs="Times New Roman"/>
          <w:color w:val="000000" w:themeColor="text1"/>
          <w:lang w:bidi="ar"/>
          <w14:textFill>
            <w14:solidFill>
              <w14:schemeClr w14:val="tx1"/>
            </w14:solidFill>
          </w14:textFill>
        </w:rPr>
        <w:t>（eVTOL）</w:t>
      </w:r>
      <w:r>
        <w:rPr>
          <w:rFonts w:hint="eastAsia" w:ascii="仿宋_GB2312" w:hAnsi="仿宋_GB2312" w:cs="仿宋_GB2312"/>
          <w:color w:val="000000" w:themeColor="text1"/>
          <w:lang w:bidi="ar"/>
          <w14:textFill>
            <w14:solidFill>
              <w14:schemeClr w14:val="tx1"/>
            </w14:solidFill>
          </w14:textFill>
        </w:rPr>
        <w:t>等航空器服务保障能力</w:t>
      </w:r>
      <w:r>
        <w:rPr>
          <w:rFonts w:hint="eastAsia" w:cs="Times New Roman"/>
          <w:bCs/>
          <w:color w:val="000000" w:themeColor="text1"/>
          <w:szCs w:val="32"/>
          <w14:textFill>
            <w14:solidFill>
              <w14:schemeClr w14:val="tx1"/>
            </w14:solidFill>
          </w14:textFill>
        </w:rPr>
        <w:t>。</w:t>
      </w:r>
      <w:r>
        <w:rPr>
          <w:rFonts w:cs="Times New Roman"/>
          <w:color w:val="000000" w:themeColor="text1"/>
          <w:szCs w:val="32"/>
          <w14:textFill>
            <w14:solidFill>
              <w14:schemeClr w14:val="tx1"/>
            </w14:solidFill>
          </w14:textFill>
        </w:rPr>
        <w:t>强化区域航空货运枢纽功能</w:t>
      </w:r>
      <w:r>
        <w:rPr>
          <w:rFonts w:hint="eastAsia" w:cs="Times New Roman"/>
          <w:color w:val="000000" w:themeColor="text1"/>
          <w:szCs w:val="32"/>
          <w14:textFill>
            <w14:solidFill>
              <w14:schemeClr w14:val="tx1"/>
            </w14:solidFill>
          </w14:textFill>
        </w:rPr>
        <w:t>，</w:t>
      </w:r>
      <w:r>
        <w:rPr>
          <w:rFonts w:cs="Times New Roman"/>
          <w:color w:val="000000" w:themeColor="text1"/>
          <w:szCs w:val="32"/>
          <w14:textFill>
            <w14:solidFill>
              <w14:schemeClr w14:val="tx1"/>
            </w14:solidFill>
          </w14:textFill>
        </w:rPr>
        <w:t>推进</w:t>
      </w:r>
      <w:r>
        <w:rPr>
          <w:rFonts w:hint="eastAsia" w:cs="Times New Roman"/>
          <w:color w:val="000000" w:themeColor="text1"/>
          <w:szCs w:val="32"/>
          <w14:textFill>
            <w14:solidFill>
              <w14:schemeClr w14:val="tx1"/>
            </w14:solidFill>
          </w14:textFill>
        </w:rPr>
        <w:t>兰旗机场</w:t>
      </w:r>
      <w:r>
        <w:rPr>
          <w:rFonts w:cs="Times New Roman"/>
          <w:color w:val="000000" w:themeColor="text1"/>
          <w:szCs w:val="32"/>
          <w14:textFill>
            <w14:solidFill>
              <w14:schemeClr w14:val="tx1"/>
            </w14:solidFill>
          </w14:textFill>
        </w:rPr>
        <w:t>货运中心升级改造</w:t>
      </w:r>
      <w:r>
        <w:rPr>
          <w:rFonts w:hint="eastAsia" w:cs="Times New Roman"/>
          <w:color w:val="000000" w:themeColor="text1"/>
          <w:szCs w:val="32"/>
          <w14:textFill>
            <w14:solidFill>
              <w14:schemeClr w14:val="tx1"/>
            </w14:solidFill>
          </w14:textFill>
        </w:rPr>
        <w:t>，谋划推动营口空港物流园建设。</w:t>
      </w:r>
      <w:r>
        <w:rPr>
          <w:rFonts w:cs="Times New Roman"/>
          <w:bCs/>
          <w:color w:val="000000" w:themeColor="text1"/>
          <w:szCs w:val="32"/>
          <w14:textFill>
            <w14:solidFill>
              <w14:schemeClr w14:val="tx1"/>
            </w14:solidFill>
          </w14:textFill>
        </w:rPr>
        <w:t>增强航空运输区域通达性</w:t>
      </w:r>
      <w:r>
        <w:rPr>
          <w:rFonts w:hint="eastAsia" w:cs="Times New Roman"/>
          <w:bCs/>
          <w:color w:val="000000" w:themeColor="text1"/>
          <w:szCs w:val="32"/>
          <w14:textFill>
            <w14:solidFill>
              <w14:schemeClr w14:val="tx1"/>
            </w14:solidFill>
          </w14:textFill>
        </w:rPr>
        <w:t>，</w:t>
      </w:r>
      <w:bookmarkEnd w:id="89"/>
      <w:bookmarkStart w:id="90" w:name="OLE_LINK162"/>
      <w:r>
        <w:rPr>
          <w:rFonts w:hint="eastAsia" w:cs="Times New Roman"/>
          <w:color w:val="000000" w:themeColor="text1"/>
          <w:szCs w:val="32"/>
          <w14:textFill>
            <w14:solidFill>
              <w14:schemeClr w14:val="tx1"/>
            </w14:solidFill>
          </w14:textFill>
        </w:rPr>
        <w:t>稳定运营上海、广州等航线，适时恢复长沙、成都等航线，积极开通厦门、昆明、青岛、西安等航线</w:t>
      </w:r>
      <w:bookmarkEnd w:id="90"/>
      <w:bookmarkStart w:id="91" w:name="OLE_LINK165"/>
      <w:bookmarkStart w:id="92" w:name="OLE_LINK164"/>
      <w:r>
        <w:rPr>
          <w:rFonts w:hint="eastAsia" w:ascii="仿宋_GB2312" w:hAnsi="仿宋_GB2312"/>
          <w:bCs/>
          <w:color w:val="000000" w:themeColor="text1"/>
          <w:szCs w:val="32"/>
          <w14:textFill>
            <w14:solidFill>
              <w14:schemeClr w14:val="tx1"/>
            </w14:solidFill>
          </w14:textFill>
        </w:rPr>
        <w:t>，</w:t>
      </w:r>
      <w:r>
        <w:rPr>
          <w:rFonts w:hint="eastAsia" w:cs="Times New Roman"/>
          <w:color w:val="000000" w:themeColor="text1"/>
          <w:szCs w:val="32"/>
          <w14:textFill>
            <w14:solidFill>
              <w14:schemeClr w14:val="tx1"/>
            </w14:solidFill>
          </w14:textFill>
        </w:rPr>
        <w:t>探索开通至郑州等航空货运枢纽城市全货机航线。</w:t>
      </w:r>
      <w:bookmarkEnd w:id="91"/>
      <w:bookmarkEnd w:id="92"/>
      <w:bookmarkStart w:id="93" w:name="OLE_LINK18"/>
      <w:r>
        <w:rPr>
          <w:rFonts w:hint="eastAsia" w:cs="Times New Roman"/>
          <w:color w:val="000000" w:themeColor="text1"/>
          <w:szCs w:val="32"/>
          <w14:textFill>
            <w14:solidFill>
              <w14:schemeClr w14:val="tx1"/>
            </w14:solidFill>
          </w14:textFill>
        </w:rPr>
        <w:t>有序推进通用机场发展，</w:t>
      </w:r>
      <w:bookmarkEnd w:id="93"/>
      <w:bookmarkStart w:id="94" w:name="OLE_LINK167"/>
      <w:r>
        <w:rPr>
          <w:rFonts w:hint="eastAsia" w:cs="Times New Roman"/>
          <w:color w:val="000000" w:themeColor="text1"/>
          <w:szCs w:val="32"/>
          <w14:textFill>
            <w14:solidFill>
              <w14:schemeClr w14:val="tx1"/>
            </w14:solidFill>
          </w14:textFill>
        </w:rPr>
        <w:t>推动</w:t>
      </w:r>
      <w:r>
        <w:rPr>
          <w:rFonts w:cs="Times New Roman"/>
          <w:color w:val="000000" w:themeColor="text1"/>
          <w:szCs w:val="32"/>
          <w14:textFill>
            <w14:solidFill>
              <w14:schemeClr w14:val="tx1"/>
            </w14:solidFill>
          </w14:textFill>
        </w:rPr>
        <w:t>北海通用机场和低空交通枢纽等项目建设</w:t>
      </w:r>
      <w:r>
        <w:rPr>
          <w:rFonts w:hint="eastAsia" w:cs="Times New Roman"/>
          <w:color w:val="000000" w:themeColor="text1"/>
          <w:szCs w:val="32"/>
          <w14:textFill>
            <w14:solidFill>
              <w14:schemeClr w14:val="tx1"/>
            </w14:solidFill>
          </w14:textFill>
        </w:rPr>
        <w:t>，探索</w:t>
      </w:r>
      <w:r>
        <w:rPr>
          <w:rFonts w:hint="eastAsia" w:ascii="仿宋_GB2312" w:hAnsi="仿宋_GB2312" w:cs="仿宋_GB2312"/>
          <w:color w:val="000000" w:themeColor="text1"/>
          <w:lang w:bidi="ar"/>
          <w14:textFill>
            <w14:solidFill>
              <w14:schemeClr w14:val="tx1"/>
            </w14:solidFill>
          </w14:textFill>
        </w:rPr>
        <w:t>低空游览、农业护林防火、抢险救灾等多元化应用场景。</w:t>
      </w:r>
    </w:p>
    <w:bookmarkEnd w:id="94"/>
    <w:p>
      <w:pPr>
        <w:topLinePunct/>
        <w:spacing w:line="600" w:lineRule="exact"/>
        <w:ind w:firstLine="639" w:firstLineChars="199"/>
        <w:outlineLvl w:val="1"/>
        <w:rPr>
          <w:b/>
          <w:bCs/>
        </w:rPr>
      </w:pPr>
      <w:bookmarkStart w:id="95" w:name="_Toc232606930"/>
      <w:bookmarkStart w:id="96" w:name="_Hlk181003932"/>
      <w:r>
        <w:rPr>
          <w:rFonts w:hint="eastAsia" w:ascii="楷体_GB2312" w:hAnsi="楷体_GB2312" w:eastAsia="楷体_GB2312" w:cs="楷体_GB2312"/>
          <w:b/>
          <w:color w:val="000000" w:themeColor="text1"/>
          <w:szCs w:val="32"/>
          <w14:textFill>
            <w14:solidFill>
              <w14:schemeClr w14:val="tx1"/>
            </w14:solidFill>
          </w14:textFill>
        </w:rPr>
        <w:t>（五）</w:t>
      </w:r>
      <w:bookmarkStart w:id="97" w:name="OLE_LINK169"/>
      <w:r>
        <w:rPr>
          <w:rFonts w:hint="eastAsia" w:ascii="楷体_GB2312" w:hAnsi="楷体_GB2312" w:eastAsia="楷体_GB2312" w:cs="楷体_GB2312"/>
          <w:b/>
          <w:color w:val="000000" w:themeColor="text1"/>
          <w:szCs w:val="32"/>
          <w14:textFill>
            <w14:solidFill>
              <w14:schemeClr w14:val="tx1"/>
            </w14:solidFill>
          </w14:textFill>
        </w:rPr>
        <w:t>完善综合交通枢纽体系</w:t>
      </w:r>
      <w:bookmarkEnd w:id="95"/>
      <w:r>
        <w:rPr>
          <w:rFonts w:hint="eastAsia" w:ascii="楷体_GB2312" w:hAnsi="楷体_GB2312" w:eastAsia="楷体_GB2312" w:cs="楷体_GB2312"/>
          <w:b/>
          <w:color w:val="000000" w:themeColor="text1"/>
          <w:szCs w:val="32"/>
          <w14:textFill>
            <w14:solidFill>
              <w14:schemeClr w14:val="tx1"/>
            </w14:solidFill>
          </w14:textFill>
        </w:rPr>
        <w:t>建设</w:t>
      </w:r>
    </w:p>
    <w:bookmarkEnd w:id="97"/>
    <w:p>
      <w:pPr>
        <w:spacing w:line="600" w:lineRule="exact"/>
        <w:ind w:firstLine="643"/>
        <w:rPr>
          <w:color w:val="000000" w:themeColor="text1"/>
          <w14:textFill>
            <w14:solidFill>
              <w14:schemeClr w14:val="tx1"/>
            </w14:solidFill>
          </w14:textFill>
        </w:rPr>
      </w:pPr>
      <w:bookmarkStart w:id="98" w:name="OLE_LINK170"/>
      <w:r>
        <w:rPr>
          <w:rFonts w:hint="eastAsia" w:cs="Times New Roman"/>
          <w:b/>
          <w:bCs/>
          <w:color w:val="000000" w:themeColor="text1"/>
          <w:szCs w:val="32"/>
          <w14:textFill>
            <w14:solidFill>
              <w14:schemeClr w14:val="tx1"/>
            </w14:solidFill>
          </w14:textFill>
        </w:rPr>
        <w:t>推进一体化综合客运枢纽建设</w:t>
      </w:r>
      <w:bookmarkEnd w:id="98"/>
      <w:r>
        <w:rPr>
          <w:rFonts w:hint="eastAsia"/>
          <w:b/>
          <w:bCs/>
          <w:color w:val="000000" w:themeColor="text1"/>
          <w14:textFill>
            <w14:solidFill>
              <w14:schemeClr w14:val="tx1"/>
            </w14:solidFill>
          </w14:textFill>
        </w:rPr>
        <w:t>。</w:t>
      </w:r>
      <w:bookmarkStart w:id="99" w:name="OLE_LINK171"/>
      <w:r>
        <w:rPr>
          <w:rFonts w:hint="eastAsia" w:cs="Times New Roman"/>
          <w:color w:val="000000" w:themeColor="text1"/>
          <w:szCs w:val="32"/>
          <w14:textFill>
            <w14:solidFill>
              <w14:schemeClr w14:val="tx1"/>
            </w14:solidFill>
          </w14:textFill>
        </w:rPr>
        <w:t>加快构建“一场一港三站”的陆海空三维一体综合客运港站体系，加强综合客运枢纽一体化、立体化衔接，</w:t>
      </w:r>
      <w:r>
        <w:rPr>
          <w:rFonts w:cs="Times New Roman"/>
          <w:color w:val="000000" w:themeColor="text1"/>
          <w:szCs w:val="32"/>
          <w14:textFill>
            <w14:solidFill>
              <w14:schemeClr w14:val="tx1"/>
            </w14:solidFill>
          </w14:textFill>
        </w:rPr>
        <w:t>推广多种运输方式同台换乘、功能区共享、安检设施共用</w:t>
      </w:r>
      <w:r>
        <w:rPr>
          <w:rFonts w:hint="eastAsia" w:cs="Times New Roman"/>
          <w:color w:val="000000" w:themeColor="text1"/>
          <w:szCs w:val="32"/>
          <w14:textFill>
            <w14:solidFill>
              <w14:schemeClr w14:val="tx1"/>
            </w14:solidFill>
          </w14:textFill>
        </w:rPr>
        <w:t>。</w:t>
      </w:r>
      <w:r>
        <w:rPr>
          <w:rFonts w:cs="Times New Roman"/>
          <w:color w:val="000000" w:themeColor="text1"/>
          <w:szCs w:val="32"/>
          <w14:textFill>
            <w14:solidFill>
              <w14:schemeClr w14:val="tx1"/>
            </w14:solidFill>
          </w14:textFill>
        </w:rPr>
        <w:t>实施营口东站枢纽改扩建工程，进一步强化客运一体化衔接。</w:t>
      </w:r>
      <w:r>
        <w:rPr>
          <w:rFonts w:hint="eastAsia" w:cs="Times New Roman"/>
          <w:color w:val="000000" w:themeColor="text1"/>
          <w:szCs w:val="32"/>
          <w14:textFill>
            <w14:solidFill>
              <w14:schemeClr w14:val="tx1"/>
            </w14:solidFill>
          </w14:textFill>
        </w:rPr>
        <w:t>建设鲅鱼圈港区国际客运站，完善旅客换乘、售票、通关、行李托运等服务功能，</w:t>
      </w:r>
      <w:r>
        <w:rPr>
          <w:rFonts w:cs="Times New Roman"/>
          <w:color w:val="000000" w:themeColor="text1"/>
          <w:szCs w:val="32"/>
          <w14:textFill>
            <w14:solidFill>
              <w14:schemeClr w14:val="tx1"/>
            </w14:solidFill>
          </w14:textFill>
        </w:rPr>
        <w:t>打造中韩水上国际旅客集散中心。</w:t>
      </w:r>
    </w:p>
    <w:bookmarkEnd w:id="99"/>
    <w:p>
      <w:pPr>
        <w:spacing w:line="600" w:lineRule="exact"/>
        <w:ind w:firstLine="643"/>
        <w:rPr>
          <w:color w:val="000000" w:themeColor="text1"/>
          <w14:textFill>
            <w14:solidFill>
              <w14:schemeClr w14:val="tx1"/>
            </w14:solidFill>
          </w14:textFill>
        </w:rPr>
      </w:pPr>
      <w:bookmarkStart w:id="100" w:name="OLE_LINK172"/>
      <w:r>
        <w:rPr>
          <w:rFonts w:hint="eastAsia"/>
          <w:b/>
          <w:bCs/>
          <w:color w:val="000000" w:themeColor="text1"/>
          <w14:textFill>
            <w14:solidFill>
              <w14:schemeClr w14:val="tx1"/>
            </w14:solidFill>
          </w14:textFill>
        </w:rPr>
        <w:t>推动综合货运枢纽集约高效发展</w:t>
      </w:r>
      <w:bookmarkEnd w:id="100"/>
      <w:r>
        <w:rPr>
          <w:rFonts w:hint="eastAsia"/>
          <w:b/>
          <w:bCs/>
          <w:color w:val="000000" w:themeColor="text1"/>
          <w14:textFill>
            <w14:solidFill>
              <w14:schemeClr w14:val="tx1"/>
            </w14:solidFill>
          </w14:textFill>
        </w:rPr>
        <w:t>。</w:t>
      </w:r>
      <w:bookmarkStart w:id="101" w:name="OLE_LINK173"/>
      <w:r>
        <w:rPr>
          <w:rFonts w:hint="eastAsia"/>
          <w:color w:val="000000" w:themeColor="text1"/>
          <w14:textFill>
            <w14:solidFill>
              <w14:schemeClr w14:val="tx1"/>
            </w14:solidFill>
          </w14:textFill>
        </w:rPr>
        <w:t>积极申报国家综合货运枢纽补链强链，</w:t>
      </w:r>
      <w:r>
        <w:rPr>
          <w:color w:val="000000" w:themeColor="text1"/>
          <w14:textFill>
            <w14:solidFill>
              <w14:schemeClr w14:val="tx1"/>
            </w14:solidFill>
          </w14:textFill>
        </w:rPr>
        <w:t>完善以鲅鱼圈港区海铁联运综合货运枢纽为核心，老港区—老边站海铁公联运综合货运枢纽、咸水河站公铁联运综合货运枢纽</w:t>
      </w:r>
      <w:r>
        <w:rPr>
          <w:rFonts w:hint="eastAsia"/>
          <w:color w:val="000000" w:themeColor="text1"/>
          <w14:textFill>
            <w14:solidFill>
              <w14:schemeClr w14:val="tx1"/>
            </w14:solidFill>
          </w14:textFill>
        </w:rPr>
        <w:t>为</w:t>
      </w:r>
      <w:r>
        <w:rPr>
          <w:color w:val="000000" w:themeColor="text1"/>
          <w14:textFill>
            <w14:solidFill>
              <w14:schemeClr w14:val="tx1"/>
            </w14:solidFill>
          </w14:textFill>
        </w:rPr>
        <w:t>节点</w:t>
      </w:r>
      <w:r>
        <w:rPr>
          <w:rFonts w:hint="eastAsia"/>
          <w:color w:val="000000" w:themeColor="text1"/>
          <w14:textFill>
            <w14:solidFill>
              <w14:schemeClr w14:val="tx1"/>
            </w14:solidFill>
          </w14:textFill>
        </w:rPr>
        <w:t>的“</w:t>
      </w:r>
      <w:r>
        <w:rPr>
          <w:color w:val="000000" w:themeColor="text1"/>
          <w14:textFill>
            <w14:solidFill>
              <w14:schemeClr w14:val="tx1"/>
            </w14:solidFill>
          </w14:textFill>
        </w:rPr>
        <w:t>一主两辅</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综合货运枢纽体系</w:t>
      </w:r>
      <w:r>
        <w:rPr>
          <w:rFonts w:hint="eastAsia"/>
          <w:color w:val="000000" w:themeColor="text1"/>
          <w14:textFill>
            <w14:solidFill>
              <w14:schemeClr w14:val="tx1"/>
            </w14:solidFill>
          </w14:textFill>
        </w:rPr>
        <w:t>。加快推进</w:t>
      </w:r>
      <w:r>
        <w:rPr>
          <w:color w:val="000000" w:themeColor="text1"/>
          <w14:textFill>
            <w14:solidFill>
              <w14:schemeClr w14:val="tx1"/>
            </w14:solidFill>
          </w14:textFill>
        </w:rPr>
        <w:t>枢纽设施高效连通、信息实时共享、标准双向互认和业务协同运营，提升多式联运服务效能和重点货类供应链集成能力</w:t>
      </w:r>
      <w:r>
        <w:rPr>
          <w:rFonts w:hint="eastAsia"/>
          <w:color w:val="000000" w:themeColor="text1"/>
          <w14:textFill>
            <w14:solidFill>
              <w14:schemeClr w14:val="tx1"/>
            </w14:solidFill>
          </w14:textFill>
        </w:rPr>
        <w:t>。</w:t>
      </w:r>
      <w:r>
        <w:rPr>
          <w:color w:val="000000" w:themeColor="text1"/>
          <w14:textFill>
            <w14:solidFill>
              <w14:schemeClr w14:val="tx1"/>
            </w14:solidFill>
          </w14:textFill>
        </w:rPr>
        <w:br w:type="page"/>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Pr>
          <w:p>
            <w:pPr>
              <w:spacing w:line="240" w:lineRule="auto"/>
              <w:ind w:firstLine="0" w:firstLineChars="0"/>
              <w:jc w:val="center"/>
              <w:rPr>
                <w:b/>
                <w:bCs/>
                <w:color w:val="000000" w:themeColor="text1"/>
                <w:kern w:val="0"/>
                <w:sz w:val="20"/>
                <w:szCs w:val="20"/>
                <w14:textFill>
                  <w14:solidFill>
                    <w14:schemeClr w14:val="tx1"/>
                  </w14:solidFill>
                </w14:textFill>
              </w:rPr>
            </w:pPr>
            <w:r>
              <w:rPr>
                <w:b/>
                <w:bCs/>
                <w:color w:val="000000" w:themeColor="text1"/>
                <w:kern w:val="0"/>
                <w:sz w:val="28"/>
                <w:szCs w:val="28"/>
                <w14:textFill>
                  <w14:solidFill>
                    <w14:schemeClr w14:val="tx1"/>
                  </w14:solidFill>
                </w14:textFill>
              </w:rPr>
              <w:t xml:space="preserve">专栏3 </w:t>
            </w:r>
            <w:r>
              <w:rPr>
                <w:rFonts w:hint="eastAsia"/>
                <w:b/>
                <w:bCs/>
                <w:color w:val="000000" w:themeColor="text1"/>
                <w:kern w:val="0"/>
                <w:sz w:val="28"/>
                <w:szCs w:val="28"/>
                <w14:textFill>
                  <w14:solidFill>
                    <w14:schemeClr w14:val="tx1"/>
                  </w14:solidFill>
                </w14:textFill>
              </w:rPr>
              <w:t>综合交通枢纽建设项目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Pr>
          <w:p>
            <w:pPr>
              <w:spacing w:line="440" w:lineRule="exact"/>
              <w:ind w:firstLine="562"/>
              <w:rPr>
                <w:rFonts w:cs="Times New Roman"/>
                <w:color w:val="000000" w:themeColor="text1"/>
                <w:sz w:val="28"/>
                <w:szCs w:val="28"/>
                <w14:textFill>
                  <w14:solidFill>
                    <w14:schemeClr w14:val="tx1"/>
                  </w14:solidFill>
                </w14:textFill>
              </w:rPr>
            </w:pPr>
            <w:r>
              <w:rPr>
                <w:rFonts w:hint="eastAsia" w:cs="Times New Roman"/>
                <w:b/>
                <w:bCs/>
                <w:color w:val="000000" w:themeColor="text1"/>
                <w:sz w:val="28"/>
                <w:szCs w:val="28"/>
                <w14:textFill>
                  <w14:solidFill>
                    <w14:schemeClr w14:val="tx1"/>
                  </w14:solidFill>
                </w14:textFill>
              </w:rPr>
              <w:t>综合客运枢纽一体融合。</w:t>
            </w:r>
            <w:r>
              <w:rPr>
                <w:rFonts w:hint="eastAsia" w:cs="Times New Roman"/>
                <w:color w:val="000000" w:themeColor="text1"/>
                <w:sz w:val="28"/>
                <w:szCs w:val="28"/>
                <w14:textFill>
                  <w14:solidFill>
                    <w14:schemeClr w14:val="tx1"/>
                  </w14:solidFill>
                </w14:textFill>
              </w:rPr>
              <w:t>实施营口东站客运枢纽改扩建工程，改造旅客连廊、换乘大厅等功能区，强化营口客运东站与高铁站营口东站一体化衔接。实施鲅鱼圈港区客运枢纽新建工程，建设售票厅、候船厅、旅检厅等服务设施，完善旅客售票、登轮卡办理、行李托运等功能。</w:t>
            </w:r>
          </w:p>
          <w:p>
            <w:pPr>
              <w:spacing w:line="440" w:lineRule="exact"/>
              <w:ind w:firstLine="562"/>
              <w:rPr>
                <w:rFonts w:cs="Times New Roman"/>
                <w:b/>
                <w:bCs/>
                <w:color w:val="000000" w:themeColor="text1"/>
                <w:sz w:val="28"/>
                <w:szCs w:val="28"/>
                <w14:textFill>
                  <w14:solidFill>
                    <w14:schemeClr w14:val="tx1"/>
                  </w14:solidFill>
                </w14:textFill>
              </w:rPr>
            </w:pPr>
            <w:r>
              <w:rPr>
                <w:rFonts w:hint="eastAsia" w:cs="Times New Roman"/>
                <w:b/>
                <w:bCs/>
                <w:color w:val="000000" w:themeColor="text1"/>
                <w:sz w:val="28"/>
                <w:szCs w:val="28"/>
                <w14:textFill>
                  <w14:solidFill>
                    <w14:schemeClr w14:val="tx1"/>
                  </w14:solidFill>
                </w14:textFill>
              </w:rPr>
              <w:t>综合货运枢纽补链强链。</w:t>
            </w:r>
            <w:r>
              <w:rPr>
                <w:rFonts w:hint="eastAsia" w:cs="Times New Roman"/>
                <w:color w:val="000000" w:themeColor="text1"/>
                <w:sz w:val="28"/>
                <w:szCs w:val="28"/>
                <w14:textFill>
                  <w14:solidFill>
                    <w14:schemeClr w14:val="tx1"/>
                  </w14:solidFill>
                </w14:textFill>
              </w:rPr>
              <w:t>实施</w:t>
            </w:r>
            <w:r>
              <w:rPr>
                <w:rFonts w:cs="Times New Roman"/>
                <w:color w:val="000000" w:themeColor="text1"/>
                <w:sz w:val="28"/>
                <w:szCs w:val="28"/>
                <w14:textFill>
                  <w14:solidFill>
                    <w14:schemeClr w14:val="tx1"/>
                  </w14:solidFill>
                </w14:textFill>
              </w:rPr>
              <w:t>鲅鱼圈港区矿石、煤炭、集装箱等堆场提升工程、营口隆庆物流仓储项目</w:t>
            </w:r>
            <w:r>
              <w:rPr>
                <w:rFonts w:hint="eastAsia" w:cs="Times New Roman"/>
                <w:color w:val="000000" w:themeColor="text1"/>
                <w:sz w:val="28"/>
                <w:szCs w:val="28"/>
                <w14:textFill>
                  <w14:solidFill>
                    <w14:schemeClr w14:val="tx1"/>
                  </w14:solidFill>
                </w14:textFill>
              </w:rPr>
              <w:t>、营口</w:t>
            </w:r>
            <w:r>
              <w:rPr>
                <w:rFonts w:cs="Times New Roman"/>
                <w:color w:val="000000" w:themeColor="text1"/>
                <w:sz w:val="28"/>
                <w:szCs w:val="28"/>
                <w14:textFill>
                  <w14:solidFill>
                    <w14:schemeClr w14:val="tx1"/>
                  </w14:solidFill>
                </w14:textFill>
              </w:rPr>
              <w:t>港泰新能源化工有限公司绿色物流园仓储</w:t>
            </w:r>
            <w:r>
              <w:rPr>
                <w:rFonts w:hint="eastAsia" w:cs="Times New Roman"/>
                <w:color w:val="000000" w:themeColor="text1"/>
                <w:sz w:val="28"/>
                <w:szCs w:val="28"/>
                <w14:textFill>
                  <w14:solidFill>
                    <w14:schemeClr w14:val="tx1"/>
                  </w14:solidFill>
                </w14:textFill>
              </w:rPr>
              <w:t>、</w:t>
            </w:r>
            <w:r>
              <w:rPr>
                <w:rFonts w:cs="Times New Roman"/>
                <w:color w:val="000000" w:themeColor="text1"/>
                <w:sz w:val="28"/>
                <w:szCs w:val="28"/>
                <w14:textFill>
                  <w14:solidFill>
                    <w14:schemeClr w14:val="tx1"/>
                  </w14:solidFill>
                </w14:textFill>
              </w:rPr>
              <w:t>辽宁营口沿海产业基地综合运输枢纽站</w:t>
            </w:r>
            <w:r>
              <w:rPr>
                <w:rFonts w:hint="eastAsia" w:cs="Times New Roman"/>
                <w:color w:val="000000" w:themeColor="text1"/>
                <w:sz w:val="28"/>
                <w:szCs w:val="28"/>
                <w14:textFill>
                  <w14:solidFill>
                    <w14:schemeClr w14:val="tx1"/>
                  </w14:solidFill>
                </w14:textFill>
              </w:rPr>
              <w:t>等</w:t>
            </w:r>
            <w:r>
              <w:rPr>
                <w:rFonts w:cs="Times New Roman"/>
                <w:color w:val="000000" w:themeColor="text1"/>
                <w:sz w:val="28"/>
                <w:szCs w:val="28"/>
                <w14:textFill>
                  <w14:solidFill>
                    <w14:schemeClr w14:val="tx1"/>
                  </w14:solidFill>
                </w14:textFill>
              </w:rPr>
              <w:t>枢纽港站设施</w:t>
            </w:r>
            <w:r>
              <w:rPr>
                <w:rFonts w:hint="eastAsia" w:cs="Times New Roman"/>
                <w:color w:val="000000" w:themeColor="text1"/>
                <w:sz w:val="28"/>
                <w:szCs w:val="28"/>
                <w14:textFill>
                  <w14:solidFill>
                    <w14:schemeClr w14:val="tx1"/>
                  </w14:solidFill>
                </w14:textFill>
              </w:rPr>
              <w:t>建设改造项目</w:t>
            </w:r>
            <w:r>
              <w:rPr>
                <w:rFonts w:cs="Times New Roman"/>
                <w:color w:val="000000" w:themeColor="text1"/>
                <w:sz w:val="28"/>
                <w:szCs w:val="28"/>
                <w14:textFill>
                  <w14:solidFill>
                    <w14:schemeClr w14:val="tx1"/>
                  </w14:solidFill>
                </w14:textFill>
              </w:rPr>
              <w:t>333万平方米</w:t>
            </w:r>
            <w:r>
              <w:rPr>
                <w:rFonts w:hint="eastAsia" w:cs="Times New Roman"/>
                <w:color w:val="000000" w:themeColor="text1"/>
                <w:sz w:val="28"/>
                <w:szCs w:val="28"/>
                <w14:textFill>
                  <w14:solidFill>
                    <w14:schemeClr w14:val="tx1"/>
                  </w14:solidFill>
                </w14:textFill>
              </w:rPr>
              <w:t>；</w:t>
            </w:r>
            <w:r>
              <w:rPr>
                <w:rFonts w:cs="Times New Roman"/>
                <w:color w:val="000000" w:themeColor="text1"/>
                <w:sz w:val="28"/>
                <w:szCs w:val="28"/>
                <w14:textFill>
                  <w14:solidFill>
                    <w14:schemeClr w14:val="tx1"/>
                  </w14:solidFill>
                </w14:textFill>
              </w:rPr>
              <w:t>新建改造集疏运通道14.4公里</w:t>
            </w:r>
            <w:r>
              <w:rPr>
                <w:rFonts w:hint="eastAsia" w:cs="Times New Roman"/>
                <w:color w:val="000000" w:themeColor="text1"/>
                <w:sz w:val="28"/>
                <w:szCs w:val="28"/>
                <w14:textFill>
                  <w14:solidFill>
                    <w14:schemeClr w14:val="tx1"/>
                  </w14:solidFill>
                </w14:textFill>
              </w:rPr>
              <w:t>；</w:t>
            </w:r>
            <w:r>
              <w:rPr>
                <w:rFonts w:cs="Times New Roman"/>
                <w:color w:val="000000" w:themeColor="text1"/>
                <w:sz w:val="28"/>
                <w:szCs w:val="28"/>
                <w14:textFill>
                  <w14:solidFill>
                    <w14:schemeClr w14:val="tx1"/>
                  </w14:solidFill>
                </w14:textFill>
              </w:rPr>
              <w:t>鲅鱼圈港区自动化集装箱作业设备购置</w:t>
            </w:r>
            <w:r>
              <w:rPr>
                <w:rFonts w:hint="eastAsia" w:cs="Times New Roman"/>
                <w:color w:val="000000" w:themeColor="text1"/>
                <w:sz w:val="28"/>
                <w:szCs w:val="28"/>
                <w14:textFill>
                  <w14:solidFill>
                    <w14:schemeClr w14:val="tx1"/>
                  </w14:solidFill>
                </w14:textFill>
              </w:rPr>
              <w:t>等</w:t>
            </w:r>
            <w:r>
              <w:rPr>
                <w:rFonts w:cs="Times New Roman"/>
                <w:color w:val="000000" w:themeColor="text1"/>
                <w:sz w:val="28"/>
                <w:szCs w:val="28"/>
                <w14:textFill>
                  <w14:solidFill>
                    <w14:schemeClr w14:val="tx1"/>
                  </w14:solidFill>
                </w14:textFill>
              </w:rPr>
              <w:t>换装装卸设备更新升级</w:t>
            </w:r>
            <w:r>
              <w:rPr>
                <w:rFonts w:hint="eastAsia" w:cs="Times New Roman"/>
                <w:color w:val="000000" w:themeColor="text1"/>
                <w:sz w:val="28"/>
                <w:szCs w:val="28"/>
                <w14:textFill>
                  <w14:solidFill>
                    <w14:schemeClr w14:val="tx1"/>
                  </w14:solidFill>
                </w14:textFill>
              </w:rPr>
              <w:t>1033套，</w:t>
            </w:r>
            <w:r>
              <w:rPr>
                <w:rFonts w:cs="Times New Roman"/>
                <w:color w:val="000000" w:themeColor="text1"/>
                <w:sz w:val="28"/>
                <w:szCs w:val="28"/>
                <w14:textFill>
                  <w14:solidFill>
                    <w14:schemeClr w14:val="tx1"/>
                  </w14:solidFill>
                </w14:textFill>
              </w:rPr>
              <w:t>计划完成投资54亿元</w:t>
            </w:r>
            <w:r>
              <w:rPr>
                <w:rFonts w:hint="eastAsia" w:cs="Times New Roman"/>
                <w:color w:val="000000" w:themeColor="text1"/>
                <w:sz w:val="28"/>
                <w:szCs w:val="28"/>
                <w14:textFill>
                  <w14:solidFill>
                    <w14:schemeClr w14:val="tx1"/>
                  </w14:solidFill>
                </w14:textFill>
              </w:rPr>
              <w:t>。</w:t>
            </w:r>
          </w:p>
        </w:tc>
      </w:tr>
      <w:bookmarkEnd w:id="101"/>
    </w:tbl>
    <w:p>
      <w:pPr>
        <w:spacing w:line="600" w:lineRule="exact"/>
        <w:ind w:firstLine="640"/>
        <w:outlineLvl w:val="0"/>
        <w:rPr>
          <w:color w:val="000000" w:themeColor="text1"/>
          <w14:textFill>
            <w14:solidFill>
              <w14:schemeClr w14:val="tx1"/>
            </w14:solidFill>
          </w14:textFill>
        </w:rPr>
      </w:pPr>
      <w:bookmarkStart w:id="102" w:name="_Toc232606931"/>
      <w:r>
        <w:rPr>
          <w:rFonts w:hint="eastAsia" w:ascii="黑体" w:hAnsi="黑体" w:eastAsia="黑体" w:cs="黑体"/>
          <w:color w:val="000000" w:themeColor="text1"/>
          <w:szCs w:val="32"/>
          <w14:textFill>
            <w14:solidFill>
              <w14:schemeClr w14:val="tx1"/>
            </w14:solidFill>
          </w14:textFill>
        </w:rPr>
        <w:t>四、</w:t>
      </w:r>
      <w:bookmarkEnd w:id="102"/>
      <w:bookmarkStart w:id="103" w:name="OLE_LINK114"/>
      <w:r>
        <w:rPr>
          <w:rFonts w:hint="eastAsia" w:ascii="黑体" w:hAnsi="黑体" w:eastAsia="黑体" w:cs="黑体"/>
          <w:color w:val="000000" w:themeColor="text1"/>
          <w:szCs w:val="32"/>
          <w14:textFill>
            <w14:solidFill>
              <w14:schemeClr w14:val="tx1"/>
            </w14:solidFill>
          </w14:textFill>
        </w:rPr>
        <w:t>推动综合交通网络高效覆盖联通</w:t>
      </w:r>
    </w:p>
    <w:bookmarkEnd w:id="103"/>
    <w:p>
      <w:pPr>
        <w:topLinePunct/>
        <w:spacing w:line="580" w:lineRule="exact"/>
        <w:ind w:firstLine="639" w:firstLineChars="199"/>
        <w:outlineLvl w:val="1"/>
        <w:rPr>
          <w:b/>
          <w:bCs/>
        </w:rPr>
      </w:pPr>
      <w:bookmarkStart w:id="104" w:name="_Toc232606932"/>
      <w:r>
        <w:rPr>
          <w:rFonts w:hint="eastAsia" w:ascii="楷体_GB2312" w:hAnsi="楷体_GB2312" w:eastAsia="楷体_GB2312" w:cs="楷体_GB2312"/>
          <w:b/>
          <w:color w:val="000000" w:themeColor="text1"/>
          <w:szCs w:val="32"/>
          <w14:textFill>
            <w14:solidFill>
              <w14:schemeClr w14:val="tx1"/>
            </w14:solidFill>
          </w14:textFill>
        </w:rPr>
        <w:t>（一）</w:t>
      </w:r>
      <w:bookmarkStart w:id="105" w:name="OLE_LINK183"/>
      <w:r>
        <w:rPr>
          <w:rFonts w:hint="eastAsia" w:ascii="楷体_GB2312" w:hAnsi="楷体_GB2312" w:eastAsia="楷体_GB2312" w:cs="楷体_GB2312"/>
          <w:b/>
          <w:color w:val="000000" w:themeColor="text1"/>
          <w:szCs w:val="32"/>
          <w14:textFill>
            <w14:solidFill>
              <w14:schemeClr w14:val="tx1"/>
            </w14:solidFill>
          </w14:textFill>
        </w:rPr>
        <w:t>推动铁路网络补网强链</w:t>
      </w:r>
      <w:bookmarkEnd w:id="104"/>
    </w:p>
    <w:bookmarkEnd w:id="105"/>
    <w:p>
      <w:pPr>
        <w:spacing w:line="580" w:lineRule="exact"/>
        <w:ind w:firstLine="640"/>
        <w:rPr>
          <w:rFonts w:cs="Times New Roman"/>
          <w:color w:val="000000" w:themeColor="text1"/>
          <w:szCs w:val="32"/>
          <w14:textFill>
            <w14:solidFill>
              <w14:schemeClr w14:val="tx1"/>
            </w14:solidFill>
          </w14:textFill>
        </w:rPr>
      </w:pPr>
      <w:r>
        <w:rPr>
          <w:rFonts w:hint="eastAsia" w:cs="Times New Roman"/>
          <w:color w:val="000000" w:themeColor="text1"/>
          <w:szCs w:val="32"/>
          <w14:textFill>
            <w14:solidFill>
              <w14:schemeClr w14:val="tx1"/>
            </w14:solidFill>
          </w14:textFill>
        </w:rPr>
        <w:t>推动干线铁路提质扩能，</w:t>
      </w:r>
      <w:bookmarkStart w:id="106" w:name="OLE_LINK185"/>
      <w:r>
        <w:rPr>
          <w:rFonts w:hint="eastAsia" w:cs="Times New Roman"/>
          <w:color w:val="000000" w:themeColor="text1"/>
          <w:szCs w:val="32"/>
          <w14:textFill>
            <w14:solidFill>
              <w14:schemeClr w14:val="tx1"/>
            </w14:solidFill>
          </w14:textFill>
        </w:rPr>
        <w:t>谋划推进营口线、边海线扩能改造，推动沈大铁路上行线盖州大清河207桥改移</w:t>
      </w:r>
      <w:bookmarkEnd w:id="106"/>
      <w:r>
        <w:rPr>
          <w:rFonts w:hint="eastAsia" w:cs="Times New Roman"/>
          <w:color w:val="000000" w:themeColor="text1"/>
          <w:szCs w:val="32"/>
          <w14:textFill>
            <w14:solidFill>
              <w14:schemeClr w14:val="tx1"/>
            </w14:solidFill>
          </w14:textFill>
        </w:rPr>
        <w:t>。推动重要物流枢纽之间铁路干线联通，</w:t>
      </w:r>
      <w:bookmarkStart w:id="107" w:name="OLE_LINK186"/>
      <w:r>
        <w:rPr>
          <w:rFonts w:hint="eastAsia" w:cs="Times New Roman"/>
          <w:color w:val="000000" w:themeColor="text1"/>
          <w:szCs w:val="32"/>
          <w14:textFill>
            <w14:solidFill>
              <w14:schemeClr w14:val="tx1"/>
            </w14:solidFill>
          </w14:textFill>
        </w:rPr>
        <w:t>研究论证营口自贸区至鲅鱼圈疏港铁路</w:t>
      </w:r>
      <w:bookmarkEnd w:id="107"/>
      <w:r>
        <w:rPr>
          <w:rFonts w:hint="eastAsia" w:cs="Times New Roman"/>
          <w:color w:val="000000" w:themeColor="text1"/>
          <w:szCs w:val="32"/>
          <w14:textFill>
            <w14:solidFill>
              <w14:schemeClr w14:val="tx1"/>
            </w14:solidFill>
          </w14:textFill>
        </w:rPr>
        <w:t>建设实施。打通多式联运“最后一公里”，</w:t>
      </w:r>
      <w:bookmarkStart w:id="108" w:name="OLE_LINK23"/>
      <w:r>
        <w:rPr>
          <w:rFonts w:cs="Times New Roman"/>
          <w:color w:val="000000" w:themeColor="text1"/>
          <w:szCs w:val="32"/>
          <w14:textFill>
            <w14:solidFill>
              <w14:schemeClr w14:val="tx1"/>
            </w14:solidFill>
          </w14:textFill>
        </w:rPr>
        <w:t>实施</w:t>
      </w:r>
      <w:r>
        <w:rPr>
          <w:rFonts w:hint="eastAsia" w:cs="Times New Roman"/>
          <w:color w:val="000000" w:themeColor="text1"/>
          <w:szCs w:val="32"/>
          <w14:textFill>
            <w14:solidFill>
              <w14:schemeClr w14:val="tx1"/>
            </w14:solidFill>
          </w14:textFill>
        </w:rPr>
        <w:t>鲅鱼圈港区进港铁路复线改造、</w:t>
      </w:r>
      <w:r>
        <w:rPr>
          <w:rFonts w:cs="Times New Roman"/>
          <w:color w:val="000000" w:themeColor="text1"/>
          <w:szCs w:val="32"/>
          <w14:textFill>
            <w14:solidFill>
              <w14:schemeClr w14:val="tx1"/>
            </w14:solidFill>
          </w14:textFill>
        </w:rPr>
        <w:t>华能热电二期铁路扩能工程，适时推动营口自贸区铁路场站及铁路装卸线等项目建设</w:t>
      </w:r>
      <w:r>
        <w:rPr>
          <w:rFonts w:hint="eastAsia" w:cs="Times New Roman"/>
          <w:color w:val="000000" w:themeColor="text1"/>
          <w:szCs w:val="32"/>
          <w14:textFill>
            <w14:solidFill>
              <w14:schemeClr w14:val="tx1"/>
            </w14:solidFill>
          </w14:textFill>
        </w:rPr>
        <w:t>。</w:t>
      </w:r>
      <w:bookmarkEnd w:id="108"/>
    </w:p>
    <w:p>
      <w:pPr>
        <w:topLinePunct/>
        <w:spacing w:line="580" w:lineRule="exact"/>
        <w:ind w:firstLine="639" w:firstLineChars="199"/>
        <w:outlineLvl w:val="1"/>
        <w:rPr>
          <w:b/>
          <w:bCs/>
        </w:rPr>
      </w:pPr>
      <w:bookmarkStart w:id="109" w:name="_Toc232606933"/>
      <w:r>
        <w:rPr>
          <w:rFonts w:hint="eastAsia" w:ascii="楷体_GB2312" w:hAnsi="楷体_GB2312" w:eastAsia="楷体_GB2312" w:cs="楷体_GB2312"/>
          <w:b/>
          <w:color w:val="000000" w:themeColor="text1"/>
          <w:szCs w:val="32"/>
          <w14:textFill>
            <w14:solidFill>
              <w14:schemeClr w14:val="tx1"/>
            </w14:solidFill>
          </w14:textFill>
        </w:rPr>
        <w:t>（二）</w:t>
      </w:r>
      <w:bookmarkStart w:id="110" w:name="OLE_LINK188"/>
      <w:r>
        <w:rPr>
          <w:rFonts w:hint="eastAsia" w:ascii="楷体_GB2312" w:hAnsi="楷体_GB2312" w:eastAsia="楷体_GB2312" w:cs="楷体_GB2312"/>
          <w:b/>
          <w:color w:val="000000" w:themeColor="text1"/>
          <w:szCs w:val="32"/>
          <w14:textFill>
            <w14:solidFill>
              <w14:schemeClr w14:val="tx1"/>
            </w14:solidFill>
          </w14:textFill>
        </w:rPr>
        <w:t>推动公路网络互联互通</w:t>
      </w:r>
      <w:bookmarkEnd w:id="109"/>
    </w:p>
    <w:bookmarkEnd w:id="110"/>
    <w:p>
      <w:pPr>
        <w:topLinePunct/>
        <w:spacing w:line="580" w:lineRule="exact"/>
        <w:ind w:firstLine="636" w:firstLineChars="199"/>
        <w:rPr>
          <w:rFonts w:hint="eastAsia" w:ascii="仿宋_GB2312" w:hAnsi="仿宋_GB2312" w:cs="仿宋_GB2312"/>
          <w:color w:val="000000" w:themeColor="text1"/>
          <w:szCs w:val="32"/>
          <w14:textFill>
            <w14:solidFill>
              <w14:schemeClr w14:val="tx1"/>
            </w14:solidFill>
          </w14:textFill>
        </w:rPr>
      </w:pPr>
      <w:r>
        <w:rPr>
          <w:rFonts w:hint="eastAsia" w:cs="Times New Roman"/>
          <w:color w:val="000000" w:themeColor="text1"/>
          <w:szCs w:val="32"/>
          <w14:textFill>
            <w14:solidFill>
              <w14:schemeClr w14:val="tx1"/>
            </w14:solidFill>
          </w14:textFill>
        </w:rPr>
        <w:t>加快重要通道繁忙路段和节点扩能改造</w:t>
      </w:r>
      <w:bookmarkStart w:id="111" w:name="OLE_LINK190"/>
      <w:r>
        <w:rPr>
          <w:rFonts w:hint="eastAsia" w:cs="Times New Roman"/>
          <w:color w:val="000000" w:themeColor="text1"/>
          <w:szCs w:val="32"/>
          <w14:textFill>
            <w14:solidFill>
              <w14:schemeClr w14:val="tx1"/>
            </w14:solidFill>
          </w14:textFill>
        </w:rPr>
        <w:t>，推动沈海高速公路熊岳服务区及互通立交、丹锡高速石佛至盘锦段扩容改造</w:t>
      </w:r>
      <w:bookmarkEnd w:id="111"/>
      <w:bookmarkStart w:id="112" w:name="OLE_LINK192"/>
      <w:bookmarkStart w:id="113" w:name="OLE_LINK191"/>
      <w:r>
        <w:rPr>
          <w:rFonts w:hint="eastAsia" w:cs="Times New Roman"/>
          <w:color w:val="000000" w:themeColor="text1"/>
          <w:szCs w:val="32"/>
          <w14:textFill>
            <w14:solidFill>
              <w14:schemeClr w14:val="tx1"/>
            </w14:solidFill>
          </w14:textFill>
        </w:rPr>
        <w:t>，</w:t>
      </w:r>
      <w:r>
        <w:rPr>
          <w:rFonts w:hint="eastAsia" w:ascii="仿宋_GB2312" w:hAnsi="仿宋_GB2312" w:cs="仿宋_GB2312"/>
          <w:color w:val="000000" w:themeColor="text1"/>
          <w:szCs w:val="32"/>
          <w14:textFill>
            <w14:solidFill>
              <w14:schemeClr w14:val="tx1"/>
            </w14:solidFill>
          </w14:textFill>
        </w:rPr>
        <w:t>推进黑大线博洛铺至园台岭段</w:t>
      </w:r>
      <w:r>
        <w:rPr>
          <w:rFonts w:hint="eastAsia" w:cs="Times New Roman"/>
          <w:color w:val="000000" w:themeColor="text1"/>
          <w:szCs w:val="32"/>
          <w14:textFill>
            <w14:solidFill>
              <w14:schemeClr w14:val="tx1"/>
            </w14:solidFill>
          </w14:textFill>
        </w:rPr>
        <w:t>等提质升级。</w:t>
      </w:r>
      <w:bookmarkEnd w:id="112"/>
      <w:bookmarkEnd w:id="113"/>
      <w:bookmarkStart w:id="114" w:name="OLE_LINK193"/>
      <w:r>
        <w:rPr>
          <w:rFonts w:hint="eastAsia" w:cs="Times New Roman"/>
          <w:color w:val="000000" w:themeColor="text1"/>
          <w:szCs w:val="32"/>
          <w:lang w:bidi="ar"/>
          <w14:textFill>
            <w14:solidFill>
              <w14:schemeClr w14:val="tx1"/>
            </w14:solidFill>
          </w14:textFill>
        </w:rPr>
        <w:t>实施国省干线公路城镇过境段改造</w:t>
      </w:r>
      <w:bookmarkEnd w:id="114"/>
      <w:r>
        <w:rPr>
          <w:rFonts w:hint="eastAsia" w:cs="Times New Roman"/>
          <w:color w:val="000000" w:themeColor="text1"/>
          <w:szCs w:val="32"/>
          <w:lang w:bidi="ar"/>
          <w14:textFill>
            <w14:solidFill>
              <w14:schemeClr w14:val="tx1"/>
            </w14:solidFill>
          </w14:textFill>
        </w:rPr>
        <w:t>，</w:t>
      </w:r>
      <w:bookmarkStart w:id="115" w:name="OLE_LINK194"/>
      <w:bookmarkStart w:id="116" w:name="OLE_LINK94"/>
      <w:r>
        <w:rPr>
          <w:rFonts w:hint="eastAsia" w:cs="Times New Roman"/>
          <w:color w:val="000000" w:themeColor="text1"/>
          <w:szCs w:val="32"/>
          <w:lang w:bidi="ar"/>
          <w14:textFill>
            <w14:solidFill>
              <w14:schemeClr w14:val="tx1"/>
            </w14:solidFill>
          </w14:textFill>
        </w:rPr>
        <w:t>推进黑大线</w:t>
      </w:r>
      <w:r>
        <w:rPr>
          <w:rFonts w:hint="eastAsia" w:ascii="仿宋_GB2312" w:hAnsi="仿宋_GB2312" w:cs="仿宋_GB2312"/>
          <w:color w:val="000000" w:themeColor="text1"/>
          <w:szCs w:val="32"/>
          <w14:textFill>
            <w14:solidFill>
              <w14:schemeClr w14:val="tx1"/>
            </w14:solidFill>
          </w14:textFill>
        </w:rPr>
        <w:t>、庄西线等绕城公路</w:t>
      </w:r>
      <w:bookmarkEnd w:id="115"/>
      <w:bookmarkEnd w:id="116"/>
      <w:bookmarkStart w:id="117" w:name="OLE_LINK195"/>
      <w:r>
        <w:rPr>
          <w:rFonts w:hint="eastAsia" w:ascii="仿宋_GB2312" w:hAnsi="仿宋_GB2312" w:cs="仿宋_GB2312"/>
          <w:color w:val="000000" w:themeColor="text1"/>
          <w:szCs w:val="32"/>
          <w14:textFill>
            <w14:solidFill>
              <w14:schemeClr w14:val="tx1"/>
            </w14:solidFill>
          </w14:textFill>
        </w:rPr>
        <w:t>建设</w:t>
      </w:r>
      <w:r>
        <w:rPr>
          <w:rFonts w:hint="eastAsia" w:cs="Times New Roman"/>
          <w:color w:val="000000" w:themeColor="text1"/>
          <w:szCs w:val="32"/>
          <w:lang w:bidi="ar"/>
          <w14:textFill>
            <w14:solidFill>
              <w14:schemeClr w14:val="tx1"/>
            </w14:solidFill>
          </w14:textFill>
        </w:rPr>
        <w:t>。</w:t>
      </w:r>
      <w:bookmarkStart w:id="118" w:name="OLE_LINK95"/>
      <w:r>
        <w:rPr>
          <w:rFonts w:hint="eastAsia" w:cs="Times New Roman"/>
          <w:color w:val="000000" w:themeColor="text1"/>
          <w:szCs w:val="32"/>
          <w14:textFill>
            <w14:solidFill>
              <w14:schemeClr w14:val="tx1"/>
            </w14:solidFill>
          </w14:textFill>
        </w:rPr>
        <w:t>提升区域互联互通水平，谋划营口至宽甸高速公路盖州至岫岩段新建工程，推进营鲅公路建设。</w:t>
      </w:r>
      <w:bookmarkEnd w:id="117"/>
      <w:bookmarkEnd w:id="118"/>
      <w:bookmarkStart w:id="119" w:name="OLE_LINK196"/>
      <w:r>
        <w:rPr>
          <w:rFonts w:hint="eastAsia" w:ascii="仿宋_GB2312" w:hAnsi="仿宋_GB2312" w:cs="仿宋_GB2312"/>
          <w:color w:val="000000" w:themeColor="text1"/>
          <w:szCs w:val="32"/>
          <w14:textFill>
            <w14:solidFill>
              <w14:schemeClr w14:val="tx1"/>
            </w14:solidFill>
          </w14:textFill>
        </w:rPr>
        <w:t>推进盖普线、盖亮线、塔营线等低标准路段扩容工程</w:t>
      </w:r>
      <w:bookmarkEnd w:id="119"/>
      <w:r>
        <w:rPr>
          <w:rFonts w:hint="eastAsia" w:ascii="仿宋_GB2312" w:hAnsi="仿宋_GB2312" w:cs="仿宋_GB2312"/>
          <w:color w:val="000000" w:themeColor="text1"/>
          <w:szCs w:val="32"/>
          <w14:textFill>
            <w14:solidFill>
              <w14:schemeClr w14:val="tx1"/>
            </w14:solidFill>
          </w14:textFill>
        </w:rPr>
        <w:t>。实施新一轮农村公路提升行动</w:t>
      </w:r>
      <w:r>
        <w:rPr>
          <w:rFonts w:hint="eastAsia" w:cs="Times New Roman"/>
          <w:color w:val="000000" w:themeColor="text1"/>
          <w:szCs w:val="32"/>
          <w:lang w:bidi="ar"/>
          <w14:textFill>
            <w14:solidFill>
              <w14:schemeClr w14:val="tx1"/>
            </w14:solidFill>
          </w14:textFill>
        </w:rPr>
        <w:t>，鼓励人口相对集中的建制村通双车道公路，积极谋划村道硬化工程，</w:t>
      </w:r>
      <w:r>
        <w:rPr>
          <w:rFonts w:hint="eastAsia" w:ascii="仿宋_GB2312" w:hAnsi="仿宋_GB2312" w:cs="仿宋_GB2312"/>
          <w:color w:val="000000" w:themeColor="text1"/>
          <w:szCs w:val="32"/>
          <w14:textFill>
            <w14:solidFill>
              <w14:schemeClr w14:val="tx1"/>
            </w14:solidFill>
          </w14:textFill>
        </w:rPr>
        <w:t>推进公路铁路平交道口安全能力提升。</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000" w:type="pct"/>
          </w:tcPr>
          <w:p>
            <w:pPr>
              <w:spacing w:line="240" w:lineRule="auto"/>
              <w:ind w:firstLine="0" w:firstLineChars="0"/>
              <w:jc w:val="center"/>
              <w:rPr>
                <w:b/>
                <w:bCs/>
                <w:color w:val="000000" w:themeColor="text1"/>
                <w:kern w:val="0"/>
                <w:sz w:val="20"/>
                <w:szCs w:val="20"/>
                <w14:textFill>
                  <w14:solidFill>
                    <w14:schemeClr w14:val="tx1"/>
                  </w14:solidFill>
                </w14:textFill>
              </w:rPr>
            </w:pPr>
            <w:r>
              <w:rPr>
                <w:b/>
                <w:bCs/>
                <w:color w:val="000000" w:themeColor="text1"/>
                <w:kern w:val="0"/>
                <w:sz w:val="28"/>
                <w:szCs w:val="28"/>
                <w14:textFill>
                  <w14:solidFill>
                    <w14:schemeClr w14:val="tx1"/>
                  </w14:solidFill>
                </w14:textFill>
              </w:rPr>
              <w:t>专栏</w:t>
            </w:r>
            <w:r>
              <w:rPr>
                <w:rFonts w:hint="eastAsia"/>
                <w:b/>
                <w:bCs/>
                <w:color w:val="000000" w:themeColor="text1"/>
                <w:kern w:val="0"/>
                <w:sz w:val="28"/>
                <w:szCs w:val="28"/>
                <w14:textFill>
                  <w14:solidFill>
                    <w14:schemeClr w14:val="tx1"/>
                  </w14:solidFill>
                </w14:textFill>
              </w:rPr>
              <w:t>4 公路建设项目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5000" w:type="pct"/>
          </w:tcPr>
          <w:p>
            <w:pPr>
              <w:spacing w:line="440" w:lineRule="exact"/>
              <w:ind w:firstLine="562"/>
              <w:rPr>
                <w:rFonts w:cs="Times New Roman"/>
                <w:color w:val="000000" w:themeColor="text1"/>
                <w:sz w:val="28"/>
                <w:szCs w:val="28"/>
                <w14:textFill>
                  <w14:solidFill>
                    <w14:schemeClr w14:val="tx1"/>
                  </w14:solidFill>
                </w14:textFill>
              </w:rPr>
            </w:pPr>
            <w:r>
              <w:rPr>
                <w:rFonts w:hint="eastAsia" w:cs="Times New Roman"/>
                <w:b/>
                <w:bCs/>
                <w:color w:val="000000" w:themeColor="text1"/>
                <w:sz w:val="28"/>
                <w:szCs w:val="28"/>
                <w14:textFill>
                  <w14:solidFill>
                    <w14:schemeClr w14:val="tx1"/>
                  </w14:solidFill>
                </w14:textFill>
              </w:rPr>
              <w:t>高速公路扩容畅联。</w:t>
            </w:r>
            <w:r>
              <w:rPr>
                <w:rFonts w:hint="eastAsia" w:cs="Times New Roman"/>
                <w:color w:val="000000" w:themeColor="text1"/>
                <w:sz w:val="28"/>
                <w:szCs w:val="28"/>
                <w14:textFill>
                  <w14:solidFill>
                    <w14:schemeClr w14:val="tx1"/>
                  </w14:solidFill>
                </w14:textFill>
              </w:rPr>
              <w:t>推动实施沈海高速公路熊岳服务区及互通立交改扩建工程、丹锡高速石佛至盘锦段扩容改造，谋划营口至宽甸高速公路盖州至岫岩段工程。</w:t>
            </w:r>
          </w:p>
          <w:p>
            <w:pPr>
              <w:spacing w:line="440" w:lineRule="exact"/>
              <w:ind w:firstLine="562"/>
              <w:rPr>
                <w:rFonts w:cs="Times New Roman"/>
                <w:color w:val="000000" w:themeColor="text1"/>
                <w:sz w:val="28"/>
                <w:szCs w:val="28"/>
                <w14:textFill>
                  <w14:solidFill>
                    <w14:schemeClr w14:val="tx1"/>
                  </w14:solidFill>
                </w14:textFill>
              </w:rPr>
            </w:pPr>
            <w:r>
              <w:rPr>
                <w:rFonts w:hint="eastAsia" w:cs="Times New Roman"/>
                <w:b/>
                <w:bCs/>
                <w:color w:val="000000" w:themeColor="text1"/>
                <w:sz w:val="28"/>
                <w:szCs w:val="28"/>
                <w14:textFill>
                  <w14:solidFill>
                    <w14:schemeClr w14:val="tx1"/>
                  </w14:solidFill>
                </w14:textFill>
              </w:rPr>
              <w:t>普通国省道更新提质。</w:t>
            </w:r>
            <w:r>
              <w:rPr>
                <w:rFonts w:hint="eastAsia" w:cs="Times New Roman"/>
                <w:color w:val="000000" w:themeColor="text1"/>
                <w:sz w:val="28"/>
                <w:szCs w:val="28"/>
                <w14:textFill>
                  <w14:solidFill>
                    <w14:schemeClr w14:val="tx1"/>
                  </w14:solidFill>
                </w14:textFill>
              </w:rPr>
              <w:t>实施黑大线大石桥市博洛铺至园台岭段改扩建工程，推进黑大线张大寨至鸣珂岭段、鸣珂岭至簸箕寨段改建工程及熊岳大桥加宽工程，推进庄西线庄林路至汽保工业园段新建工程，推进盖亮线双台至杨运段、青营线太平山立交桥至柳树镇段、盖普线和美屯至方屯段、塔营线猫耳岭至苏堡子段、盖亮线赵屯至杨屯段、盖亮线南台至南台段改扩建工程。</w:t>
            </w:r>
          </w:p>
          <w:p>
            <w:pPr>
              <w:spacing w:line="440" w:lineRule="exact"/>
              <w:ind w:firstLine="562"/>
              <w:rPr>
                <w:color w:val="000000" w:themeColor="text1"/>
                <w:sz w:val="28"/>
                <w:szCs w:val="28"/>
                <w14:textFill>
                  <w14:solidFill>
                    <w14:schemeClr w14:val="tx1"/>
                  </w14:solidFill>
                </w14:textFill>
              </w:rPr>
            </w:pPr>
            <w:r>
              <w:rPr>
                <w:rFonts w:hint="eastAsia" w:cs="Times New Roman"/>
                <w:b/>
                <w:bCs/>
                <w:color w:val="000000" w:themeColor="text1"/>
                <w:sz w:val="28"/>
                <w:szCs w:val="28"/>
                <w14:textFill>
                  <w14:solidFill>
                    <w14:schemeClr w14:val="tx1"/>
                  </w14:solidFill>
                </w14:textFill>
              </w:rPr>
              <w:t>新一轮农村公路提升工程。</w:t>
            </w:r>
            <w:r>
              <w:rPr>
                <w:rFonts w:hint="eastAsia" w:cs="Times New Roman"/>
                <w:color w:val="000000" w:themeColor="text1"/>
                <w:sz w:val="28"/>
                <w:szCs w:val="28"/>
                <w14:textFill>
                  <w14:solidFill>
                    <w14:schemeClr w14:val="tx1"/>
                  </w14:solidFill>
                </w14:textFill>
              </w:rPr>
              <w:t>实施毗邻村庄联网路建设项目100公里，</w:t>
            </w:r>
            <w:r>
              <w:rPr>
                <w:rFonts w:hint="eastAsia"/>
                <w:color w:val="000000" w:themeColor="text1"/>
                <w:sz w:val="28"/>
                <w:szCs w:val="28"/>
                <w14:textFill>
                  <w14:solidFill>
                    <w14:schemeClr w14:val="tx1"/>
                  </w14:solidFill>
                </w14:textFill>
              </w:rPr>
              <w:t>推进县道前江线老边道口平改立工程。</w:t>
            </w:r>
          </w:p>
          <w:p>
            <w:pPr>
              <w:spacing w:line="440" w:lineRule="exact"/>
              <w:ind w:firstLine="562"/>
              <w:rPr>
                <w:color w:val="000000" w:themeColor="text1"/>
                <w:sz w:val="28"/>
                <w:szCs w:val="28"/>
                <w14:textFill>
                  <w14:solidFill>
                    <w14:schemeClr w14:val="tx1"/>
                  </w14:solidFill>
                </w14:textFill>
              </w:rPr>
            </w:pPr>
            <w:r>
              <w:rPr>
                <w:rFonts w:hint="eastAsia"/>
                <w:b/>
                <w:bCs/>
                <w:color w:val="000000" w:themeColor="text1"/>
                <w:sz w:val="28"/>
                <w:szCs w:val="28"/>
                <w14:textFill>
                  <w14:solidFill>
                    <w14:schemeClr w14:val="tx1"/>
                  </w14:solidFill>
                </w14:textFill>
              </w:rPr>
              <w:t>产业路、园区路、旅游路。</w:t>
            </w:r>
            <w:r>
              <w:rPr>
                <w:rFonts w:hint="eastAsia"/>
                <w:color w:val="000000" w:themeColor="text1"/>
                <w:sz w:val="28"/>
                <w:szCs w:val="28"/>
                <w14:textFill>
                  <w14:solidFill>
                    <w14:schemeClr w14:val="tx1"/>
                  </w14:solidFill>
                </w14:textFill>
              </w:rPr>
              <w:t>推动驼双线旅游公路、青龙山大街西段产业路、营鲅公路等项目建设。</w:t>
            </w:r>
          </w:p>
        </w:tc>
      </w:tr>
    </w:tbl>
    <w:p>
      <w:pPr>
        <w:topLinePunct/>
        <w:spacing w:line="600" w:lineRule="exact"/>
        <w:ind w:firstLine="639" w:firstLineChars="199"/>
        <w:outlineLvl w:val="1"/>
        <w:rPr>
          <w:b/>
          <w:bCs/>
        </w:rPr>
      </w:pPr>
      <w:bookmarkStart w:id="120" w:name="_Toc232606934"/>
      <w:r>
        <w:rPr>
          <w:rFonts w:hint="eastAsia" w:ascii="楷体_GB2312" w:hAnsi="楷体_GB2312" w:eastAsia="楷体_GB2312" w:cs="楷体_GB2312"/>
          <w:b/>
          <w:color w:val="000000" w:themeColor="text1"/>
          <w:szCs w:val="32"/>
          <w14:textFill>
            <w14:solidFill>
              <w14:schemeClr w14:val="tx1"/>
            </w14:solidFill>
          </w14:textFill>
        </w:rPr>
        <w:t>（三）</w:t>
      </w:r>
      <w:bookmarkStart w:id="121" w:name="OLE_LINK199"/>
      <w:r>
        <w:rPr>
          <w:rFonts w:hint="eastAsia" w:ascii="楷体_GB2312" w:hAnsi="楷体_GB2312" w:eastAsia="楷体_GB2312" w:cs="楷体_GB2312"/>
          <w:b/>
          <w:color w:val="000000" w:themeColor="text1"/>
          <w:szCs w:val="32"/>
          <w14:textFill>
            <w14:solidFill>
              <w14:schemeClr w14:val="tx1"/>
            </w14:solidFill>
          </w14:textFill>
        </w:rPr>
        <w:t>提升基础设施养护效能</w:t>
      </w:r>
      <w:bookmarkEnd w:id="120"/>
    </w:p>
    <w:bookmarkEnd w:id="96"/>
    <w:bookmarkEnd w:id="121"/>
    <w:p>
      <w:pPr>
        <w:spacing w:line="600" w:lineRule="exact"/>
        <w:ind w:firstLine="640"/>
        <w:rPr>
          <w:rFonts w:cs="Times New Roman"/>
          <w:color w:val="000000" w:themeColor="text1"/>
          <w:szCs w:val="32"/>
          <w14:textFill>
            <w14:solidFill>
              <w14:schemeClr w14:val="tx1"/>
            </w14:solidFill>
          </w14:textFill>
        </w:rPr>
      </w:pPr>
      <w:r>
        <w:rPr>
          <w:rFonts w:hint="eastAsia"/>
          <w:color w:val="000000" w:themeColor="text1"/>
          <w14:textFill>
            <w14:solidFill>
              <w14:schemeClr w14:val="tx1"/>
            </w14:solidFill>
          </w14:textFill>
        </w:rPr>
        <w:t>大力推进预防性养护，针对重点路段开展修复性养护工程，提升干线公路全生命周期养护能力，积极探索长周期、集约化养护作业模式，加强长寿耐久的季冻区养护技术及智慧养护推广应用，深化农村公路管理养护体制改革。推进老旧设施更新提质、能力紧张设施扩能增质、安全韧性不足设施增韧提效、枢纽港站综合效能提升。加强设施更新与数智化改造同步设计实施。</w:t>
      </w:r>
    </w:p>
    <w:p>
      <w:pPr>
        <w:spacing w:line="600" w:lineRule="exact"/>
        <w:ind w:firstLine="640"/>
        <w:outlineLvl w:val="0"/>
        <w:rPr>
          <w:color w:val="000000" w:themeColor="text1"/>
          <w14:textFill>
            <w14:solidFill>
              <w14:schemeClr w14:val="tx1"/>
            </w14:solidFill>
          </w14:textFill>
        </w:rPr>
      </w:pPr>
      <w:bookmarkStart w:id="122" w:name="_Toc232606935"/>
      <w:r>
        <w:rPr>
          <w:rFonts w:hint="eastAsia" w:ascii="黑体" w:hAnsi="黑体" w:eastAsia="黑体" w:cs="黑体"/>
          <w:color w:val="000000" w:themeColor="text1"/>
          <w:szCs w:val="32"/>
          <w14:textFill>
            <w14:solidFill>
              <w14:schemeClr w14:val="tx1"/>
            </w14:solidFill>
          </w14:textFill>
        </w:rPr>
        <w:t>五、</w:t>
      </w:r>
      <w:bookmarkStart w:id="123" w:name="OLE_LINK115"/>
      <w:r>
        <w:rPr>
          <w:rFonts w:hint="eastAsia" w:ascii="黑体" w:hAnsi="黑体" w:eastAsia="黑体" w:cs="黑体"/>
          <w:color w:val="000000" w:themeColor="text1"/>
          <w:szCs w:val="32"/>
          <w14:textFill>
            <w14:solidFill>
              <w14:schemeClr w14:val="tx1"/>
            </w14:solidFill>
          </w14:textFill>
        </w:rPr>
        <w:t>全面提升旅客出行服务品质</w:t>
      </w:r>
      <w:bookmarkEnd w:id="122"/>
    </w:p>
    <w:bookmarkEnd w:id="123"/>
    <w:p>
      <w:pPr>
        <w:topLinePunct/>
        <w:spacing w:line="600" w:lineRule="exact"/>
        <w:ind w:firstLine="639" w:firstLineChars="199"/>
        <w:outlineLvl w:val="1"/>
        <w:rPr>
          <w:b/>
          <w:bCs/>
        </w:rPr>
      </w:pPr>
      <w:bookmarkStart w:id="124" w:name="_Toc232606936"/>
      <w:r>
        <w:rPr>
          <w:rFonts w:hint="eastAsia" w:ascii="楷体_GB2312" w:hAnsi="楷体_GB2312" w:eastAsia="楷体_GB2312" w:cs="楷体_GB2312"/>
          <w:b/>
          <w:color w:val="000000" w:themeColor="text1"/>
          <w:szCs w:val="32"/>
          <w14:textFill>
            <w14:solidFill>
              <w14:schemeClr w14:val="tx1"/>
            </w14:solidFill>
          </w14:textFill>
        </w:rPr>
        <w:t>（一）</w:t>
      </w:r>
      <w:bookmarkStart w:id="125" w:name="OLE_LINK203"/>
      <w:r>
        <w:rPr>
          <w:rFonts w:hint="eastAsia" w:ascii="楷体_GB2312" w:hAnsi="楷体_GB2312" w:eastAsia="楷体_GB2312" w:cs="楷体_GB2312"/>
          <w:b/>
          <w:color w:val="000000" w:themeColor="text1"/>
          <w:szCs w:val="32"/>
          <w14:textFill>
            <w14:solidFill>
              <w14:schemeClr w14:val="tx1"/>
            </w14:solidFill>
          </w14:textFill>
        </w:rPr>
        <w:t>推进旅客联程运输发展</w:t>
      </w:r>
      <w:bookmarkEnd w:id="124"/>
    </w:p>
    <w:bookmarkEnd w:id="125"/>
    <w:p>
      <w:pPr>
        <w:spacing w:line="600" w:lineRule="exact"/>
        <w:ind w:firstLine="640"/>
        <w:rPr>
          <w:rFonts w:hint="eastAsia" w:ascii="仿宋_GB2312" w:hAnsi="仿宋" w:cs="仿宋_GB2312"/>
          <w:color w:val="000000" w:themeColor="text1"/>
          <w:szCs w:val="32"/>
          <w14:textFill>
            <w14:solidFill>
              <w14:schemeClr w14:val="tx1"/>
            </w14:solidFill>
          </w14:textFill>
        </w:rPr>
      </w:pPr>
      <w:bookmarkStart w:id="126" w:name="OLE_LINK201"/>
      <w:r>
        <w:rPr>
          <w:rFonts w:ascii="仿宋_GB2312" w:hAnsi="仿宋" w:cs="仿宋_GB2312"/>
          <w:color w:val="000000" w:themeColor="text1"/>
          <w:szCs w:val="32"/>
          <w14:textFill>
            <w14:solidFill>
              <w14:schemeClr w14:val="tx1"/>
            </w14:solidFill>
          </w14:textFill>
        </w:rPr>
        <w:t>推广旅客联程运输“</w:t>
      </w:r>
      <w:r>
        <w:rPr>
          <w:rFonts w:hint="eastAsia" w:ascii="仿宋_GB2312" w:hAnsi="仿宋" w:cs="仿宋_GB2312"/>
          <w:color w:val="000000" w:themeColor="text1"/>
          <w:szCs w:val="32"/>
          <w14:textFill>
            <w14:solidFill>
              <w14:schemeClr w14:val="tx1"/>
            </w14:solidFill>
          </w14:textFill>
        </w:rPr>
        <w:t>一票制</w:t>
      </w:r>
      <w:r>
        <w:rPr>
          <w:rFonts w:ascii="仿宋_GB2312" w:hAnsi="仿宋" w:cs="仿宋_GB2312"/>
          <w:color w:val="000000" w:themeColor="text1"/>
          <w:szCs w:val="32"/>
          <w14:textFill>
            <w14:solidFill>
              <w14:schemeClr w14:val="tx1"/>
            </w14:solidFill>
          </w14:textFill>
        </w:rPr>
        <w:t>”</w:t>
      </w:r>
      <w:r>
        <w:rPr>
          <w:rFonts w:hint="eastAsia" w:ascii="仿宋_GB2312" w:hAnsi="仿宋" w:cs="仿宋_GB2312"/>
          <w:color w:val="000000" w:themeColor="text1"/>
          <w:szCs w:val="32"/>
          <w14:textFill>
            <w14:solidFill>
              <w14:schemeClr w14:val="tx1"/>
            </w14:solidFill>
          </w14:textFill>
        </w:rPr>
        <w:t>服务模式</w:t>
      </w:r>
      <w:bookmarkEnd w:id="126"/>
      <w:r>
        <w:rPr>
          <w:rFonts w:hint="eastAsia" w:ascii="仿宋_GB2312" w:hAnsi="仿宋" w:cs="仿宋_GB2312"/>
          <w:color w:val="000000" w:themeColor="text1"/>
          <w:szCs w:val="32"/>
          <w14:textFill>
            <w14:solidFill>
              <w14:schemeClr w14:val="tx1"/>
            </w14:solidFill>
          </w14:textFill>
        </w:rPr>
        <w:t>，推动不同运输方式客票系统互联互通、信息开放共享。鼓励开展信息集成应用和服务产品创新</w:t>
      </w:r>
      <w:r>
        <w:rPr>
          <w:rFonts w:hint="eastAsia" w:cs="Times New Roman"/>
          <w:color w:val="000000" w:themeColor="text1"/>
          <w:szCs w:val="32"/>
          <w14:textFill>
            <w14:solidFill>
              <w14:schemeClr w14:val="tx1"/>
            </w14:solidFill>
          </w14:textFill>
        </w:rPr>
        <w:t>，提供一站式、全流程服务。持续推进民航、铁路、公路、城市公交等方式间运力匹配、时刻衔接、组织优化。完善旅客联程运输服务设施，合理设置异地城市候机楼。支持客运企业向旅客联程运输经营人转变。</w:t>
      </w:r>
    </w:p>
    <w:p>
      <w:pPr>
        <w:topLinePunct/>
        <w:spacing w:line="600" w:lineRule="exact"/>
        <w:ind w:firstLine="639" w:firstLineChars="199"/>
        <w:outlineLvl w:val="1"/>
        <w:rPr>
          <w:b/>
          <w:bCs/>
        </w:rPr>
      </w:pPr>
      <w:bookmarkStart w:id="127" w:name="_Toc232606937"/>
      <w:r>
        <w:rPr>
          <w:rFonts w:hint="eastAsia" w:ascii="楷体_GB2312" w:hAnsi="楷体_GB2312" w:eastAsia="楷体_GB2312" w:cs="楷体_GB2312"/>
          <w:b/>
          <w:color w:val="000000" w:themeColor="text1"/>
          <w:szCs w:val="32"/>
          <w14:textFill>
            <w14:solidFill>
              <w14:schemeClr w14:val="tx1"/>
            </w14:solidFill>
          </w14:textFill>
        </w:rPr>
        <w:t>（二）提升城际客运服务水平</w:t>
      </w:r>
      <w:bookmarkEnd w:id="127"/>
    </w:p>
    <w:p>
      <w:pPr>
        <w:spacing w:line="600" w:lineRule="exact"/>
        <w:ind w:firstLine="640"/>
        <w:rPr>
          <w:rFonts w:cs="Times New Roman"/>
          <w:color w:val="000000" w:themeColor="text1"/>
          <w:szCs w:val="32"/>
          <w14:textFill>
            <w14:solidFill>
              <w14:schemeClr w14:val="tx1"/>
            </w14:solidFill>
          </w14:textFill>
        </w:rPr>
      </w:pPr>
      <w:r>
        <w:rPr>
          <w:rFonts w:hint="eastAsia" w:cs="Times New Roman"/>
          <w:color w:val="000000" w:themeColor="text1"/>
          <w:szCs w:val="32"/>
          <w14:textFill>
            <w14:solidFill>
              <w14:schemeClr w14:val="tx1"/>
            </w14:solidFill>
          </w14:textFill>
        </w:rPr>
        <w:t>构筑以高铁、航空为主体的大容量、高效率的城际快速客运服务体系，完善航线布局，积极融入“干支通、全网联”航空运输网络。优化城际道路客运供给，强化道路客运与高铁、航空、城市公交等运输方式衔接。</w:t>
      </w:r>
      <w:r>
        <w:rPr>
          <w:rFonts w:cs="Times New Roman"/>
          <w:color w:val="000000" w:themeColor="text1"/>
          <w:szCs w:val="32"/>
          <w14:textFill>
            <w14:solidFill>
              <w14:schemeClr w14:val="tx1"/>
            </w14:solidFill>
          </w14:textFill>
        </w:rPr>
        <w:t>加快道路客运转型升级，鼓励规范发展道路客运定制服务</w:t>
      </w:r>
      <w:r>
        <w:rPr>
          <w:rFonts w:hint="eastAsia" w:cs="Times New Roman"/>
          <w:color w:val="000000" w:themeColor="text1"/>
          <w:szCs w:val="32"/>
          <w14:textFill>
            <w14:solidFill>
              <w14:schemeClr w14:val="tx1"/>
            </w14:solidFill>
          </w14:textFill>
        </w:rPr>
        <w:t>，持续推广定制客运、道路客运公交化运营模式。加快道路客运电子客票普及。</w:t>
      </w:r>
    </w:p>
    <w:p>
      <w:pPr>
        <w:topLinePunct/>
        <w:spacing w:line="600" w:lineRule="exact"/>
        <w:ind w:firstLine="639" w:firstLineChars="199"/>
        <w:outlineLvl w:val="1"/>
        <w:rPr>
          <w:b/>
          <w:bCs/>
        </w:rPr>
      </w:pPr>
      <w:bookmarkStart w:id="128" w:name="_Toc232606938"/>
      <w:r>
        <w:rPr>
          <w:rFonts w:hint="eastAsia" w:ascii="楷体_GB2312" w:hAnsi="楷体_GB2312" w:eastAsia="楷体_GB2312" w:cs="楷体_GB2312"/>
          <w:b/>
          <w:color w:val="000000" w:themeColor="text1"/>
          <w:szCs w:val="32"/>
          <w14:textFill>
            <w14:solidFill>
              <w14:schemeClr w14:val="tx1"/>
            </w14:solidFill>
          </w14:textFill>
        </w:rPr>
        <w:t>（三）</w:t>
      </w:r>
      <w:bookmarkStart w:id="129" w:name="OLE_LINK205"/>
      <w:r>
        <w:rPr>
          <w:rFonts w:hint="eastAsia" w:ascii="楷体_GB2312" w:hAnsi="楷体_GB2312" w:eastAsia="楷体_GB2312" w:cs="楷体_GB2312"/>
          <w:b/>
          <w:color w:val="000000" w:themeColor="text1"/>
          <w:szCs w:val="32"/>
          <w14:textFill>
            <w14:solidFill>
              <w14:schemeClr w14:val="tx1"/>
            </w14:solidFill>
          </w14:textFill>
        </w:rPr>
        <w:t>提升城市客运服务品质</w:t>
      </w:r>
      <w:bookmarkEnd w:id="128"/>
      <w:bookmarkEnd w:id="129"/>
    </w:p>
    <w:p>
      <w:pPr>
        <w:spacing w:line="600" w:lineRule="exact"/>
        <w:ind w:firstLine="640"/>
        <w:rPr>
          <w:rFonts w:hint="eastAsia" w:ascii="仿宋_GB2312" w:hAnsi="仿宋" w:cs="仿宋_GB2312"/>
          <w:color w:val="000000" w:themeColor="text1"/>
          <w:szCs w:val="32"/>
          <w14:textFill>
            <w14:solidFill>
              <w14:schemeClr w14:val="tx1"/>
            </w14:solidFill>
          </w14:textFill>
        </w:rPr>
      </w:pPr>
      <w:r>
        <w:rPr>
          <w:rFonts w:hint="eastAsia" w:cs="Times New Roman"/>
          <w:color w:val="000000" w:themeColor="text1"/>
          <w:szCs w:val="40"/>
          <w14:textFill>
            <w14:solidFill>
              <w14:schemeClr w14:val="tx1"/>
            </w14:solidFill>
          </w14:textFill>
        </w:rPr>
        <w:t>强化公交线网对综合客运枢纽、大型工业区、商业区、居民区覆盖串联，鼓励发展定制公交等多元服务模式。完善公交专用道布局，推广应用低地板城市公交车辆，持续打造敬老爱老公交线路。推动网约车、巡游车新老业态融合发展，促进小微型客车租赁网络化规范化发展。</w:t>
      </w:r>
    </w:p>
    <w:p>
      <w:pPr>
        <w:topLinePunct/>
        <w:spacing w:line="600" w:lineRule="exact"/>
        <w:ind w:firstLine="639" w:firstLineChars="199"/>
        <w:outlineLvl w:val="1"/>
        <w:rPr>
          <w:b/>
          <w:bCs/>
        </w:rPr>
      </w:pPr>
      <w:bookmarkStart w:id="130" w:name="_Toc232606939"/>
      <w:r>
        <w:rPr>
          <w:rFonts w:hint="eastAsia" w:ascii="楷体_GB2312" w:hAnsi="楷体_GB2312" w:eastAsia="楷体_GB2312" w:cs="楷体_GB2312"/>
          <w:b/>
          <w:color w:val="000000" w:themeColor="text1"/>
          <w:szCs w:val="32"/>
          <w14:textFill>
            <w14:solidFill>
              <w14:schemeClr w14:val="tx1"/>
            </w14:solidFill>
          </w14:textFill>
        </w:rPr>
        <w:t>（四）</w:t>
      </w:r>
      <w:bookmarkStart w:id="131" w:name="OLE_LINK206"/>
      <w:r>
        <w:rPr>
          <w:rFonts w:hint="eastAsia" w:ascii="楷体_GB2312" w:hAnsi="楷体_GB2312" w:eastAsia="楷体_GB2312" w:cs="楷体_GB2312"/>
          <w:b/>
          <w:color w:val="000000" w:themeColor="text1"/>
          <w:szCs w:val="32"/>
          <w14:textFill>
            <w14:solidFill>
              <w14:schemeClr w14:val="tx1"/>
            </w14:solidFill>
          </w14:textFill>
        </w:rPr>
        <w:t>推进城乡客运便捷均等发展</w:t>
      </w:r>
      <w:bookmarkEnd w:id="130"/>
    </w:p>
    <w:bookmarkEnd w:id="131"/>
    <w:p>
      <w:pPr>
        <w:spacing w:line="600" w:lineRule="exact"/>
        <w:ind w:firstLine="640"/>
        <w:rPr>
          <w:color w:val="000000" w:themeColor="text1"/>
          <w:kern w:val="0"/>
          <w14:textFill>
            <w14:solidFill>
              <w14:schemeClr w14:val="tx1"/>
            </w14:solidFill>
          </w14:textFill>
        </w:rPr>
      </w:pPr>
      <w:r>
        <w:rPr>
          <w:rFonts w:hint="eastAsia" w:ascii="仿宋_GB2312" w:hAnsi="仿宋" w:cs="仿宋_GB2312"/>
          <w:color w:val="000000" w:themeColor="text1"/>
          <w:szCs w:val="32"/>
          <w14:textFill>
            <w14:solidFill>
              <w14:schemeClr w14:val="tx1"/>
            </w14:solidFill>
          </w14:textFill>
        </w:rPr>
        <w:t>健全农村客运发展长效机制，保障农村客运稳定运行。有序推进</w:t>
      </w:r>
      <w:r>
        <w:rPr>
          <w:color w:val="000000" w:themeColor="text1"/>
          <w:kern w:val="0"/>
          <w14:textFill>
            <w14:solidFill>
              <w14:schemeClr w14:val="tx1"/>
            </w14:solidFill>
          </w14:textFill>
        </w:rPr>
        <w:t>城市公交</w:t>
      </w:r>
      <w:r>
        <w:rPr>
          <w:rFonts w:hint="eastAsia"/>
          <w:color w:val="000000" w:themeColor="text1"/>
          <w:kern w:val="0"/>
          <w14:textFill>
            <w14:solidFill>
              <w14:schemeClr w14:val="tx1"/>
            </w14:solidFill>
          </w14:textFill>
        </w:rPr>
        <w:t>向乡村</w:t>
      </w:r>
      <w:r>
        <w:rPr>
          <w:color w:val="000000" w:themeColor="text1"/>
          <w:kern w:val="0"/>
          <w14:textFill>
            <w14:solidFill>
              <w14:schemeClr w14:val="tx1"/>
            </w14:solidFill>
          </w14:textFill>
        </w:rPr>
        <w:t>延伸</w:t>
      </w:r>
      <w:r>
        <w:rPr>
          <w:rFonts w:hint="eastAsia"/>
          <w:color w:val="000000" w:themeColor="text1"/>
          <w:kern w:val="0"/>
          <w14:textFill>
            <w14:solidFill>
              <w14:schemeClr w14:val="tx1"/>
            </w14:solidFill>
          </w14:textFill>
        </w:rPr>
        <w:t>、农村</w:t>
      </w:r>
      <w:r>
        <w:rPr>
          <w:color w:val="000000" w:themeColor="text1"/>
          <w:kern w:val="0"/>
          <w14:textFill>
            <w14:solidFill>
              <w14:schemeClr w14:val="tx1"/>
            </w14:solidFill>
          </w14:textFill>
        </w:rPr>
        <w:t>客运公交化</w:t>
      </w:r>
      <w:r>
        <w:rPr>
          <w:rFonts w:hint="eastAsia"/>
          <w:color w:val="000000" w:themeColor="text1"/>
          <w:kern w:val="0"/>
          <w14:textFill>
            <w14:solidFill>
              <w14:schemeClr w14:val="tx1"/>
            </w14:solidFill>
          </w14:textFill>
        </w:rPr>
        <w:t>运营改造</w:t>
      </w:r>
      <w:r>
        <w:rPr>
          <w:rFonts w:hint="eastAsia" w:cs="Times New Roman"/>
          <w:color w:val="000000" w:themeColor="text1"/>
          <w:szCs w:val="40"/>
          <w14:textFill>
            <w14:solidFill>
              <w14:schemeClr w14:val="tx1"/>
            </w14:solidFill>
          </w14:textFill>
        </w:rPr>
        <w:t>，提升农村地区群众出行便利化水平。加快优化城乡客运站空间布局和等级结构，引导汽车客运站优化调整功能，拓展货运物流、邮政快递、旅游集散等综合运输服务。</w:t>
      </w:r>
    </w:p>
    <w:p>
      <w:pPr>
        <w:spacing w:line="600" w:lineRule="exact"/>
        <w:ind w:firstLine="640"/>
        <w:outlineLvl w:val="0"/>
        <w:rPr>
          <w:color w:val="000000" w:themeColor="text1"/>
          <w14:textFill>
            <w14:solidFill>
              <w14:schemeClr w14:val="tx1"/>
            </w14:solidFill>
          </w14:textFill>
        </w:rPr>
      </w:pPr>
      <w:bookmarkStart w:id="132" w:name="_Toc232606940"/>
      <w:r>
        <w:rPr>
          <w:rFonts w:hint="eastAsia" w:ascii="黑体" w:hAnsi="黑体" w:eastAsia="黑体" w:cs="黑体"/>
          <w:color w:val="000000" w:themeColor="text1"/>
          <w:szCs w:val="32"/>
          <w14:textFill>
            <w14:solidFill>
              <w14:schemeClr w14:val="tx1"/>
            </w14:solidFill>
          </w14:textFill>
        </w:rPr>
        <w:t>六、</w:t>
      </w:r>
      <w:bookmarkStart w:id="133" w:name="OLE_LINK116"/>
      <w:r>
        <w:rPr>
          <w:rFonts w:hint="eastAsia" w:ascii="黑体" w:hAnsi="黑体" w:eastAsia="黑体" w:cs="黑体"/>
          <w:color w:val="000000" w:themeColor="text1"/>
          <w:szCs w:val="32"/>
          <w14:textFill>
            <w14:solidFill>
              <w14:schemeClr w14:val="tx1"/>
            </w14:solidFill>
          </w14:textFill>
        </w:rPr>
        <w:t>推动交通物流降本提质增效</w:t>
      </w:r>
      <w:bookmarkEnd w:id="132"/>
    </w:p>
    <w:bookmarkEnd w:id="133"/>
    <w:p>
      <w:pPr>
        <w:topLinePunct/>
        <w:spacing w:line="600" w:lineRule="exact"/>
        <w:ind w:firstLine="639" w:firstLineChars="199"/>
        <w:outlineLvl w:val="1"/>
        <w:rPr>
          <w:b/>
          <w:bCs/>
        </w:rPr>
      </w:pPr>
      <w:bookmarkStart w:id="134" w:name="_Toc232606941"/>
      <w:r>
        <w:rPr>
          <w:rFonts w:hint="eastAsia" w:ascii="楷体_GB2312" w:hAnsi="楷体_GB2312" w:eastAsia="楷体_GB2312" w:cs="楷体_GB2312"/>
          <w:b/>
          <w:color w:val="000000" w:themeColor="text1"/>
          <w:szCs w:val="32"/>
          <w14:textFill>
            <w14:solidFill>
              <w14:schemeClr w14:val="tx1"/>
            </w14:solidFill>
          </w14:textFill>
        </w:rPr>
        <w:t>（一）深入推进运输结构调整优化</w:t>
      </w:r>
      <w:bookmarkEnd w:id="134"/>
    </w:p>
    <w:p>
      <w:pPr>
        <w:spacing w:line="600" w:lineRule="exact"/>
        <w:ind w:firstLine="640"/>
        <w:rPr>
          <w:rFonts w:cs="Times New Roman"/>
          <w:color w:val="000000" w:themeColor="text1"/>
          <w:szCs w:val="32"/>
          <w14:textFill>
            <w14:solidFill>
              <w14:schemeClr w14:val="tx1"/>
            </w14:solidFill>
          </w14:textFill>
        </w:rPr>
      </w:pPr>
      <w:r>
        <w:rPr>
          <w:rFonts w:hint="eastAsia" w:cs="Times New Roman"/>
          <w:color w:val="000000" w:themeColor="text1"/>
          <w:szCs w:val="32"/>
          <w14:textFill>
            <w14:solidFill>
              <w14:schemeClr w14:val="tx1"/>
            </w14:solidFill>
          </w14:textFill>
        </w:rPr>
        <w:t>持续推进大宗货物“公转铁”“公转水”，引导煤炭、矿石、粮食等大宗物资中长距离运输优先采用铁路、水路，短距离运输优先采用新能源车辆。</w:t>
      </w:r>
      <w:bookmarkStart w:id="135" w:name="OLE_LINK208"/>
      <w:bookmarkStart w:id="136" w:name="OLE_LINK209"/>
      <w:r>
        <w:rPr>
          <w:rFonts w:hint="eastAsia" w:cs="Times New Roman"/>
          <w:color w:val="000000" w:themeColor="text1"/>
          <w:szCs w:val="32"/>
          <w14:textFill>
            <w14:solidFill>
              <w14:schemeClr w14:val="tx1"/>
            </w14:solidFill>
          </w14:textFill>
        </w:rPr>
        <w:t>推动铁路与重点工矿、物流企业务实合作</w:t>
      </w:r>
      <w:bookmarkEnd w:id="135"/>
      <w:r>
        <w:rPr>
          <w:rFonts w:hint="eastAsia" w:cs="Times New Roman"/>
          <w:color w:val="000000" w:themeColor="text1"/>
          <w:szCs w:val="32"/>
          <w14:textFill>
            <w14:solidFill>
              <w14:schemeClr w14:val="tx1"/>
            </w14:solidFill>
          </w14:textFill>
        </w:rPr>
        <w:t>。持续推进铁路专用线进入港区堆场、物流园区、工矿企业。</w:t>
      </w:r>
      <w:r>
        <w:rPr>
          <w:rFonts w:cs="Times New Roman"/>
          <w:color w:val="000000" w:themeColor="text1"/>
          <w:szCs w:val="32"/>
          <w14:textFill>
            <w14:solidFill>
              <w14:schemeClr w14:val="tx1"/>
            </w14:solidFill>
          </w14:textFill>
        </w:rPr>
        <w:t>强化航运网络体系建设，提升水运服务效能。</w:t>
      </w:r>
    </w:p>
    <w:bookmarkEnd w:id="136"/>
    <w:p>
      <w:pPr>
        <w:topLinePunct/>
        <w:spacing w:line="600" w:lineRule="exact"/>
        <w:ind w:firstLine="639" w:firstLineChars="199"/>
        <w:outlineLvl w:val="1"/>
        <w:rPr>
          <w:b/>
          <w:bCs/>
        </w:rPr>
      </w:pPr>
      <w:bookmarkStart w:id="137" w:name="_Toc232606942"/>
      <w:r>
        <w:rPr>
          <w:rFonts w:hint="eastAsia" w:ascii="楷体_GB2312" w:hAnsi="楷体_GB2312" w:eastAsia="楷体_GB2312" w:cs="楷体_GB2312"/>
          <w:b/>
          <w:color w:val="000000" w:themeColor="text1"/>
          <w:szCs w:val="32"/>
          <w14:textFill>
            <w14:solidFill>
              <w14:schemeClr w14:val="tx1"/>
            </w14:solidFill>
          </w14:textFill>
        </w:rPr>
        <w:t>（二）推动多式联运高质量发展</w:t>
      </w:r>
      <w:bookmarkEnd w:id="137"/>
    </w:p>
    <w:p>
      <w:pPr>
        <w:spacing w:line="600" w:lineRule="exact"/>
        <w:ind w:firstLine="643"/>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促进多式联运加快发展。</w:t>
      </w:r>
      <w:bookmarkStart w:id="138" w:name="OLE_LINK210"/>
      <w:r>
        <w:rPr>
          <w:rFonts w:hint="eastAsia" w:ascii="仿宋_GB2312" w:hAnsi="仿宋" w:cs="仿宋_GB2312"/>
          <w:color w:val="000000" w:themeColor="text1"/>
          <w:szCs w:val="32"/>
          <w14:textFill>
            <w14:solidFill>
              <w14:schemeClr w14:val="tx1"/>
            </w14:solidFill>
          </w14:textFill>
        </w:rPr>
        <w:t>高质量创建</w:t>
      </w:r>
      <w:r>
        <w:rPr>
          <w:rFonts w:hint="eastAsia" w:cs="Times New Roman"/>
          <w:color w:val="000000" w:themeColor="text1"/>
          <w:szCs w:val="32"/>
          <w14:textFill>
            <w14:solidFill>
              <w14:schemeClr w14:val="tx1"/>
            </w14:solidFill>
          </w14:textFill>
        </w:rPr>
        <w:t>全省多式联运高质量发展试点，打通多式联运堵点、卡点，完善多式联运设施网络体系、信息共享体系、标准规则体系、企业服务体系。</w:t>
      </w:r>
      <w:bookmarkEnd w:id="138"/>
      <w:bookmarkStart w:id="139" w:name="OLE_LINK147"/>
      <w:r>
        <w:rPr>
          <w:rFonts w:hint="eastAsia" w:cs="Times New Roman"/>
          <w:color w:val="000000" w:themeColor="text1"/>
          <w:szCs w:val="32"/>
          <w14:textFill>
            <w14:solidFill>
              <w14:schemeClr w14:val="tx1"/>
            </w14:solidFill>
          </w14:textFill>
        </w:rPr>
        <w:t>依托东北三省一区多式联运发展联盟，鼓励支持铁路、港口、航运、货代等企业加强合作，共商共建共享东北海陆大通道</w:t>
      </w:r>
      <w:bookmarkEnd w:id="139"/>
      <w:r>
        <w:rPr>
          <w:rFonts w:hint="eastAsia" w:cs="Times New Roman"/>
          <w:color w:val="000000" w:themeColor="text1"/>
          <w:szCs w:val="32"/>
          <w14:textFill>
            <w14:solidFill>
              <w14:schemeClr w14:val="tx1"/>
            </w14:solidFill>
          </w14:textFill>
        </w:rPr>
        <w:t>。推进集装箱码头设施设备提质升级改造，优化内陆港节点布局，拓展港口至内陆的全流程物流服务。</w:t>
      </w:r>
    </w:p>
    <w:p>
      <w:pPr>
        <w:spacing w:line="600" w:lineRule="exact"/>
        <w:ind w:firstLine="643"/>
        <w:rPr>
          <w:rFonts w:hint="eastAsia" w:ascii="仿宋_GB2312" w:hAnsi="仿宋" w:cs="仿宋_GB2312"/>
          <w:color w:val="000000" w:themeColor="text1"/>
          <w:szCs w:val="32"/>
          <w14:textFill>
            <w14:solidFill>
              <w14:schemeClr w14:val="tx1"/>
            </w14:solidFill>
          </w14:textFill>
        </w:rPr>
      </w:pPr>
      <w:bookmarkStart w:id="140" w:name="OLE_LINK211"/>
      <w:r>
        <w:rPr>
          <w:rFonts w:hint="eastAsia"/>
          <w:b/>
          <w:bCs/>
          <w:color w:val="000000" w:themeColor="text1"/>
          <w14:textFill>
            <w14:solidFill>
              <w14:schemeClr w14:val="tx1"/>
            </w14:solidFill>
          </w14:textFill>
        </w:rPr>
        <w:t>巩固“北粮南运”</w:t>
      </w:r>
      <w:bookmarkEnd w:id="140"/>
      <w:r>
        <w:rPr>
          <w:rFonts w:hint="eastAsia"/>
          <w:b/>
          <w:bCs/>
          <w:color w:val="000000" w:themeColor="text1"/>
          <w14:textFill>
            <w14:solidFill>
              <w14:schemeClr w14:val="tx1"/>
            </w14:solidFill>
          </w14:textFill>
        </w:rPr>
        <w:t>枢纽地位。</w:t>
      </w:r>
      <w:r>
        <w:rPr>
          <w:rFonts w:hint="eastAsia" w:ascii="仿宋_GB2312" w:hAnsi="仿宋" w:cs="仿宋_GB2312"/>
          <w:color w:val="000000" w:themeColor="text1"/>
          <w:szCs w:val="32"/>
          <w14:textFill>
            <w14:solidFill>
              <w14:schemeClr w14:val="tx1"/>
            </w14:solidFill>
          </w14:textFill>
        </w:rPr>
        <w:t>助力“北粮南运”大通道交通物流降本提质增效交通强国试点建设，推进粮食专业化泊位建设改造，补</w:t>
      </w:r>
      <w:r>
        <w:rPr>
          <w:rFonts w:hint="eastAsia" w:ascii="仿宋_GB2312"/>
          <w:color w:val="000000" w:themeColor="text1"/>
          <w:kern w:val="0"/>
          <w:szCs w:val="30"/>
          <w14:textFill>
            <w14:solidFill>
              <w14:schemeClr w14:val="tx1"/>
            </w14:solidFill>
          </w14:textFill>
        </w:rPr>
        <w:t>齐港口粮食仓储设施短板，实施粮食转运设备工艺优化和提能提级改造，推动鲅鱼圈港</w:t>
      </w:r>
      <w:r>
        <w:rPr>
          <w:rFonts w:cs="Times New Roman"/>
          <w:color w:val="000000" w:themeColor="text1"/>
          <w:kern w:val="0"/>
          <w:szCs w:val="30"/>
          <w14:textFill>
            <w14:solidFill>
              <w14:schemeClr w14:val="tx1"/>
            </w14:solidFill>
          </w14:textFill>
        </w:rPr>
        <w:t>区5万吨级以下粮食泊位升级改造、粮食自动化装卸船专用泊位、30</w:t>
      </w:r>
      <w:r>
        <w:rPr>
          <w:rFonts w:hint="eastAsia" w:ascii="仿宋_GB2312"/>
          <w:color w:val="000000" w:themeColor="text1"/>
          <w:kern w:val="0"/>
          <w:szCs w:val="30"/>
          <w14:textFill>
            <w14:solidFill>
              <w14:schemeClr w14:val="tx1"/>
            </w14:solidFill>
          </w14:textFill>
        </w:rPr>
        <w:t>万吨粮食立筒仓等项目建设。织密辐射东南沿海、长江中下游等地区的“北粮南运”多式联运航线网络，</w:t>
      </w:r>
      <w:r>
        <w:rPr>
          <w:rFonts w:hint="eastAsia" w:cs="Times New Roman"/>
        </w:rPr>
        <w:t>优化联运作业流程，</w:t>
      </w:r>
      <w:r>
        <w:rPr>
          <w:rFonts w:hint="eastAsia" w:ascii="仿宋_GB2312" w:hAnsi="仿宋" w:cs="仿宋_GB2312"/>
          <w:color w:val="000000" w:themeColor="text1"/>
          <w:szCs w:val="32"/>
          <w14:textFill>
            <w14:solidFill>
              <w14:schemeClr w14:val="tx1"/>
            </w14:solidFill>
          </w14:textFill>
        </w:rPr>
        <w:t>推进</w:t>
      </w:r>
      <w:r>
        <w:rPr>
          <w:rFonts w:ascii="仿宋_GB2312" w:hAnsi="仿宋" w:cs="仿宋_GB2312"/>
          <w:color w:val="000000" w:themeColor="text1"/>
          <w:szCs w:val="32"/>
          <w14:textFill>
            <w14:solidFill>
              <w14:schemeClr w14:val="tx1"/>
            </w14:solidFill>
          </w14:textFill>
        </w:rPr>
        <w:t>“</w:t>
      </w:r>
      <w:r>
        <w:rPr>
          <w:rFonts w:hint="eastAsia" w:ascii="仿宋_GB2312" w:hAnsi="仿宋" w:cs="仿宋_GB2312"/>
          <w:color w:val="000000" w:themeColor="text1"/>
          <w:szCs w:val="32"/>
          <w14:textFill>
            <w14:solidFill>
              <w14:schemeClr w14:val="tx1"/>
            </w14:solidFill>
          </w14:textFill>
        </w:rPr>
        <w:t>北粮南运</w:t>
      </w:r>
      <w:r>
        <w:rPr>
          <w:rFonts w:ascii="仿宋_GB2312" w:hAnsi="仿宋" w:cs="仿宋_GB2312"/>
          <w:color w:val="000000" w:themeColor="text1"/>
          <w:szCs w:val="32"/>
          <w14:textFill>
            <w14:solidFill>
              <w14:schemeClr w14:val="tx1"/>
            </w14:solidFill>
          </w14:textFill>
        </w:rPr>
        <w:t>”</w:t>
      </w:r>
      <w:r>
        <w:rPr>
          <w:rFonts w:hint="eastAsia" w:ascii="仿宋_GB2312" w:hAnsi="仿宋" w:cs="仿宋_GB2312"/>
          <w:color w:val="000000" w:themeColor="text1"/>
          <w:szCs w:val="32"/>
          <w14:textFill>
            <w14:solidFill>
              <w14:schemeClr w14:val="tx1"/>
            </w14:solidFill>
          </w14:textFill>
        </w:rPr>
        <w:t>物流信息互联共享，</w:t>
      </w:r>
      <w:r>
        <w:rPr>
          <w:rFonts w:hint="eastAsia" w:ascii="仿宋_GB2312"/>
          <w:color w:val="000000" w:themeColor="text1"/>
          <w:kern w:val="0"/>
          <w:szCs w:val="30"/>
          <w14:textFill>
            <w14:solidFill>
              <w14:schemeClr w14:val="tx1"/>
            </w14:solidFill>
          </w14:textFill>
        </w:rPr>
        <w:t>做强“东北地区—营口港—华东、华南和东南沿海港口”等“北粮南运”铁水联运品牌。</w:t>
      </w:r>
    </w:p>
    <w:p>
      <w:pPr>
        <w:spacing w:line="600" w:lineRule="exact"/>
        <w:ind w:firstLine="643"/>
        <w:rPr>
          <w:rFonts w:hint="eastAsia" w:ascii="仿宋_GB2312" w:hAnsi="仿宋" w:cs="仿宋_GB2312"/>
          <w:color w:val="000000" w:themeColor="text1"/>
          <w:szCs w:val="32"/>
          <w14:textFill>
            <w14:solidFill>
              <w14:schemeClr w14:val="tx1"/>
            </w14:solidFill>
          </w14:textFill>
        </w:rPr>
      </w:pPr>
      <w:r>
        <w:rPr>
          <w:rFonts w:hint="eastAsia"/>
          <w:b/>
          <w:bCs/>
          <w:color w:val="000000" w:themeColor="text1"/>
          <w14:textFill>
            <w14:solidFill>
              <w14:schemeClr w14:val="tx1"/>
            </w14:solidFill>
          </w14:textFill>
        </w:rPr>
        <w:t>拓展多式联运“一单制”“一箱制”应用。</w:t>
      </w:r>
      <w:r>
        <w:rPr>
          <w:rFonts w:hint="eastAsia" w:cs="Times New Roman"/>
          <w:color w:val="000000" w:themeColor="text1"/>
          <w:szCs w:val="32"/>
          <w14:textFill>
            <w14:solidFill>
              <w14:schemeClr w14:val="tx1"/>
            </w14:solidFill>
          </w14:textFill>
        </w:rPr>
        <w:t>培育壮大多式联运经营主体</w:t>
      </w:r>
      <w:r>
        <w:rPr>
          <w:rFonts w:hint="eastAsia" w:ascii="仿宋_GB2312" w:hAnsi="仿宋" w:cs="仿宋_GB2312"/>
          <w:color w:val="000000" w:themeColor="text1"/>
          <w:szCs w:val="32"/>
          <w14:textFill>
            <w14:solidFill>
              <w14:schemeClr w14:val="tx1"/>
            </w14:solidFill>
          </w14:textFill>
        </w:rPr>
        <w:t>，提升全程物流服务模式效能。持续</w:t>
      </w:r>
      <w:r>
        <w:rPr>
          <w:rFonts w:hint="eastAsia" w:cs="Times New Roman"/>
          <w:color w:val="000000" w:themeColor="text1"/>
          <w:szCs w:val="32"/>
          <w14:textFill>
            <w14:solidFill>
              <w14:schemeClr w14:val="tx1"/>
            </w14:solidFill>
          </w14:textFill>
        </w:rPr>
        <w:t>打造多式联运“一单制”精品线路，</w:t>
      </w:r>
      <w:r>
        <w:rPr>
          <w:rFonts w:hint="eastAsia" w:cs="Times New Roman"/>
          <w:szCs w:val="32"/>
        </w:rPr>
        <w:t>拓展规则统一、各方互认的多式联运“一单制”标准化电子单证应用</w:t>
      </w:r>
      <w:r>
        <w:rPr>
          <w:rFonts w:hint="eastAsia" w:cs="Times New Roman"/>
          <w:color w:val="000000" w:themeColor="text1"/>
          <w:szCs w:val="32"/>
          <w14:textFill>
            <w14:solidFill>
              <w14:schemeClr w14:val="tx1"/>
            </w14:solidFill>
          </w14:textFill>
        </w:rPr>
        <w:t>。推广应用铁水联运“一箱制”运输，提升联运组织、集装箱管理、信息互联集成等服务能力，</w:t>
      </w:r>
      <w:r>
        <w:rPr>
          <w:rFonts w:hint="eastAsia" w:cs="Times New Roman"/>
          <w:szCs w:val="32"/>
        </w:rPr>
        <w:t>实现“托运人一次委托、运费一次结算、一单到底、一箱到底”</w:t>
      </w:r>
      <w:r>
        <w:rPr>
          <w:rFonts w:hint="eastAsia" w:cs="Times New Roman"/>
          <w:color w:val="000000" w:themeColor="text1"/>
          <w:szCs w:val="32"/>
          <w14:textFill>
            <w14:solidFill>
              <w14:schemeClr w14:val="tx1"/>
            </w14:solidFill>
          </w14:textFill>
        </w:rPr>
        <w:t>。完善内贸集装箱多式联运体系，</w:t>
      </w:r>
      <w:r>
        <w:rPr>
          <w:rFonts w:hint="eastAsia" w:cs="Times New Roman"/>
          <w:szCs w:val="32"/>
        </w:rPr>
        <w:t>推广40英尺半高箱、35吨宽体箱等</w:t>
      </w:r>
      <w:r>
        <w:rPr>
          <w:rFonts w:hint="eastAsia" w:cs="Times New Roman"/>
          <w:color w:val="000000" w:themeColor="text1"/>
          <w:szCs w:val="32"/>
          <w14:textFill>
            <w14:solidFill>
              <w14:schemeClr w14:val="tx1"/>
            </w14:solidFill>
          </w14:textFill>
        </w:rPr>
        <w:t>载运单元应用，优化集装箱交接、安检等服务规则，推进内贸集装箱循环共用。</w:t>
      </w:r>
    </w:p>
    <w:p>
      <w:pPr>
        <w:topLinePunct/>
        <w:spacing w:line="600" w:lineRule="exact"/>
        <w:ind w:firstLine="639" w:firstLineChars="199"/>
        <w:outlineLvl w:val="1"/>
        <w:rPr>
          <w:b/>
          <w:bCs/>
        </w:rPr>
      </w:pPr>
      <w:bookmarkStart w:id="141" w:name="_Toc232606943"/>
      <w:r>
        <w:rPr>
          <w:rFonts w:hint="eastAsia" w:ascii="楷体_GB2312" w:hAnsi="楷体_GB2312" w:eastAsia="楷体_GB2312" w:cs="楷体_GB2312"/>
          <w:b/>
          <w:color w:val="000000" w:themeColor="text1"/>
          <w:szCs w:val="32"/>
          <w14:textFill>
            <w14:solidFill>
              <w14:schemeClr w14:val="tx1"/>
            </w14:solidFill>
          </w14:textFill>
        </w:rPr>
        <w:t>（三）</w:t>
      </w:r>
      <w:bookmarkStart w:id="142" w:name="OLE_LINK212"/>
      <w:r>
        <w:rPr>
          <w:rFonts w:hint="eastAsia" w:ascii="楷体_GB2312" w:hAnsi="楷体_GB2312" w:eastAsia="楷体_GB2312" w:cs="楷体_GB2312"/>
          <w:b/>
          <w:color w:val="000000" w:themeColor="text1"/>
          <w:szCs w:val="32"/>
          <w14:textFill>
            <w14:solidFill>
              <w14:schemeClr w14:val="tx1"/>
            </w14:solidFill>
          </w14:textFill>
        </w:rPr>
        <w:t>推动货运物流集约高效发展</w:t>
      </w:r>
      <w:bookmarkEnd w:id="141"/>
    </w:p>
    <w:bookmarkEnd w:id="142"/>
    <w:p>
      <w:pPr>
        <w:spacing w:line="600" w:lineRule="exact"/>
        <w:ind w:firstLine="643"/>
        <w:rPr>
          <w:color w:val="000000" w:themeColor="text1"/>
          <w14:textFill>
            <w14:solidFill>
              <w14:schemeClr w14:val="tx1"/>
            </w14:solidFill>
          </w14:textFill>
        </w:rPr>
      </w:pPr>
      <w:r>
        <w:rPr>
          <w:rFonts w:hint="eastAsia"/>
          <w:b/>
          <w:bCs/>
          <w:color w:val="000000" w:themeColor="text1"/>
          <w14:textFill>
            <w14:solidFill>
              <w14:schemeClr w14:val="tx1"/>
            </w14:solidFill>
          </w14:textFill>
        </w:rPr>
        <w:t>推进货运组织模式创新。</w:t>
      </w:r>
      <w:bookmarkStart w:id="143" w:name="OLE_LINK214"/>
      <w:r>
        <w:rPr>
          <w:rFonts w:hint="eastAsia"/>
          <w:color w:val="000000" w:themeColor="text1"/>
          <w14:textFill>
            <w14:solidFill>
              <w14:schemeClr w14:val="tx1"/>
            </w14:solidFill>
          </w14:textFill>
        </w:rPr>
        <w:t>鼓励货运企业通过自建网络或与电商快递等企业合作，拓展门到门取送货业务。积极发展普通货车租赁、长途接驳甩挂、集装单元化等模式，积极</w:t>
      </w:r>
      <w:r>
        <w:rPr>
          <w:rFonts w:hint="eastAsia" w:cs="Times New Roman"/>
          <w:color w:val="000000" w:themeColor="text1"/>
          <w:szCs w:val="32"/>
          <w14:textFill>
            <w14:solidFill>
              <w14:schemeClr w14:val="tx1"/>
            </w14:solidFill>
          </w14:textFill>
        </w:rPr>
        <w:t>探索双层集装箱班列、高铁快运等运输组织模式</w:t>
      </w:r>
      <w:r>
        <w:rPr>
          <w:rFonts w:hint="eastAsia"/>
          <w:color w:val="000000" w:themeColor="text1"/>
          <w14:textFill>
            <w14:solidFill>
              <w14:schemeClr w14:val="tx1"/>
            </w14:solidFill>
          </w14:textFill>
        </w:rPr>
        <w:t>。</w:t>
      </w:r>
      <w:bookmarkEnd w:id="143"/>
      <w:r>
        <w:rPr>
          <w:rFonts w:hint="eastAsia"/>
          <w:color w:val="000000" w:themeColor="text1"/>
          <w14:textFill>
            <w14:solidFill>
              <w14:schemeClr w14:val="tx1"/>
            </w14:solidFill>
          </w14:textFill>
        </w:rPr>
        <w:t>支持物流骨干企业向</w:t>
      </w:r>
      <w:r>
        <w:rPr>
          <w:rFonts w:hint="eastAsia" w:cs="仿宋_GB2312"/>
          <w:color w:val="000000" w:themeColor="text1"/>
          <w:szCs w:val="32"/>
          <w14:textFill>
            <w14:solidFill>
              <w14:schemeClr w14:val="tx1"/>
            </w14:solidFill>
          </w14:textFill>
        </w:rPr>
        <w:t>综合物流集成商</w:t>
      </w:r>
      <w:r>
        <w:rPr>
          <w:rFonts w:hint="eastAsia"/>
          <w:color w:val="000000" w:themeColor="text1"/>
          <w14:textFill>
            <w14:solidFill>
              <w14:schemeClr w14:val="tx1"/>
            </w14:solidFill>
          </w14:textFill>
        </w:rPr>
        <w:t>转型。</w:t>
      </w:r>
    </w:p>
    <w:p>
      <w:pPr>
        <w:spacing w:line="600" w:lineRule="exact"/>
        <w:ind w:firstLine="643"/>
        <w:rPr>
          <w:color w:val="000000" w:themeColor="text1"/>
          <w14:textFill>
            <w14:solidFill>
              <w14:schemeClr w14:val="tx1"/>
            </w14:solidFill>
          </w14:textFill>
        </w:rPr>
      </w:pPr>
      <w:r>
        <w:rPr>
          <w:rFonts w:hint="eastAsia"/>
          <w:b/>
          <w:bCs/>
          <w:color w:val="000000" w:themeColor="text1"/>
          <w14:textFill>
            <w14:solidFill>
              <w14:schemeClr w14:val="tx1"/>
            </w14:solidFill>
          </w14:textFill>
        </w:rPr>
        <w:t>提升城乡物流服务水平。</w:t>
      </w:r>
      <w:bookmarkStart w:id="144" w:name="OLE_LINK215"/>
      <w:r>
        <w:rPr>
          <w:rFonts w:hint="eastAsia"/>
          <w:color w:val="000000" w:themeColor="text1"/>
          <w14:textFill>
            <w14:solidFill>
              <w14:schemeClr w14:val="tx1"/>
            </w14:solidFill>
          </w14:textFill>
        </w:rPr>
        <w:t>推动物流园区、货运枢纽、配送中心等建设和更新改造，促进城际干线运输和城市末端配送有机衔接。</w:t>
      </w:r>
      <w:bookmarkEnd w:id="144"/>
      <w:r>
        <w:rPr>
          <w:rFonts w:hint="eastAsia" w:ascii="仿宋_GB2312" w:hAnsi="仿宋" w:cs="仿宋_GB2312"/>
          <w:color w:val="000000" w:themeColor="text1"/>
          <w:szCs w:val="32"/>
          <w14:textFill>
            <w14:solidFill>
              <w14:schemeClr w14:val="tx1"/>
            </w14:solidFill>
          </w14:textFill>
        </w:rPr>
        <w:t>加快补齐农村物流短板，</w:t>
      </w:r>
      <w:bookmarkStart w:id="145" w:name="OLE_LINK216"/>
      <w:r>
        <w:rPr>
          <w:rFonts w:hint="eastAsia" w:ascii="仿宋_GB2312" w:hAnsi="仿宋" w:cs="仿宋_GB2312"/>
          <w:color w:val="000000" w:themeColor="text1"/>
          <w:szCs w:val="32"/>
          <w14:textFill>
            <w14:solidFill>
              <w14:schemeClr w14:val="tx1"/>
            </w14:solidFill>
          </w14:textFill>
        </w:rPr>
        <w:t>完善县、乡、村三级物流节点体系</w:t>
      </w:r>
      <w:bookmarkEnd w:id="145"/>
      <w:r>
        <w:rPr>
          <w:rFonts w:hint="eastAsia" w:ascii="仿宋_GB2312" w:hAnsi="仿宋" w:cs="仿宋_GB2312"/>
          <w:color w:val="000000" w:themeColor="text1"/>
          <w:szCs w:val="32"/>
          <w14:textFill>
            <w14:solidFill>
              <w14:schemeClr w14:val="tx1"/>
            </w14:solidFill>
          </w14:textFill>
        </w:rPr>
        <w:t>。推进客货邮运力资源互用互补，积极发展农村客运车辆代运邮件快件、货运班车等物流服务，鼓励发展“电子商务</w:t>
      </w:r>
      <w:r>
        <w:rPr>
          <w:rFonts w:ascii="仿宋_GB2312" w:hAnsi="仿宋" w:cs="仿宋_GB2312"/>
          <w:color w:val="000000" w:themeColor="text1"/>
          <w:szCs w:val="32"/>
          <w14:textFill>
            <w14:solidFill>
              <w14:schemeClr w14:val="tx1"/>
            </w14:solidFill>
          </w14:textFill>
        </w:rPr>
        <w:t>+</w:t>
      </w:r>
      <w:r>
        <w:rPr>
          <w:rFonts w:hint="eastAsia" w:ascii="仿宋_GB2312" w:hAnsi="仿宋" w:cs="仿宋_GB2312"/>
          <w:color w:val="000000" w:themeColor="text1"/>
          <w:szCs w:val="32"/>
          <w14:textFill>
            <w14:solidFill>
              <w14:schemeClr w14:val="tx1"/>
            </w14:solidFill>
          </w14:textFill>
        </w:rPr>
        <w:t>农村物流”“特色产业</w:t>
      </w:r>
      <w:r>
        <w:rPr>
          <w:rFonts w:ascii="仿宋_GB2312" w:hAnsi="仿宋" w:cs="仿宋_GB2312"/>
          <w:color w:val="000000" w:themeColor="text1"/>
          <w:szCs w:val="32"/>
          <w14:textFill>
            <w14:solidFill>
              <w14:schemeClr w14:val="tx1"/>
            </w14:solidFill>
          </w14:textFill>
        </w:rPr>
        <w:t>+</w:t>
      </w:r>
      <w:r>
        <w:rPr>
          <w:rFonts w:hint="eastAsia" w:ascii="仿宋_GB2312" w:hAnsi="仿宋" w:cs="仿宋_GB2312"/>
          <w:color w:val="000000" w:themeColor="text1"/>
          <w:szCs w:val="32"/>
          <w14:textFill>
            <w14:solidFill>
              <w14:schemeClr w14:val="tx1"/>
            </w14:solidFill>
          </w14:textFill>
        </w:rPr>
        <w:t>农村物流”等服务模式。</w:t>
      </w:r>
    </w:p>
    <w:p>
      <w:pPr>
        <w:spacing w:line="600" w:lineRule="exact"/>
        <w:ind w:firstLine="643"/>
        <w:rPr>
          <w:color w:val="000000" w:themeColor="text1"/>
          <w14:textFill>
            <w14:solidFill>
              <w14:schemeClr w14:val="tx1"/>
            </w14:solidFill>
          </w14:textFill>
        </w:rPr>
      </w:pPr>
      <w:r>
        <w:rPr>
          <w:rFonts w:hint="eastAsia"/>
          <w:b/>
          <w:bCs/>
          <w:color w:val="000000" w:themeColor="text1"/>
          <w14:textFill>
            <w14:solidFill>
              <w14:schemeClr w14:val="tx1"/>
            </w14:solidFill>
          </w14:textFill>
        </w:rPr>
        <w:t>推动货运物流专业化发展。</w:t>
      </w:r>
      <w:r>
        <w:rPr>
          <w:rFonts w:hint="eastAsia"/>
          <w:color w:val="000000" w:themeColor="text1"/>
          <w14:textFill>
            <w14:solidFill>
              <w14:schemeClr w14:val="tx1"/>
            </w14:solidFill>
          </w14:textFill>
        </w:rPr>
        <w:t>充分发挥营口国家骨干冷链物流基地资源集聚优势，强化冷链运输干支线衔接和两端集配一体化运作，</w:t>
      </w:r>
      <w:bookmarkStart w:id="146" w:name="OLE_LINK217"/>
      <w:r>
        <w:rPr>
          <w:rFonts w:hint="eastAsia"/>
          <w:color w:val="000000" w:themeColor="text1"/>
          <w14:textFill>
            <w14:solidFill>
              <w14:schemeClr w14:val="tx1"/>
            </w14:solidFill>
          </w14:textFill>
        </w:rPr>
        <w:t>发展海运</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冷链班列、公路冷链专线等物流运输</w:t>
      </w:r>
      <w:bookmarkEnd w:id="146"/>
      <w:r>
        <w:rPr>
          <w:rFonts w:hint="eastAsia"/>
          <w:color w:val="000000" w:themeColor="text1"/>
          <w14:textFill>
            <w14:solidFill>
              <w14:schemeClr w14:val="tx1"/>
            </w14:solidFill>
          </w14:textFill>
        </w:rPr>
        <w:t>方式。完善农村物流服务网络，发展交邮融合、电商物流等多种模式。加强网络货运平台对零散运力、货源等资源整合。加强危险货物运输全过程、全网络监测预警。</w:t>
      </w:r>
    </w:p>
    <w:p>
      <w:pPr>
        <w:topLinePunct/>
        <w:spacing w:line="600" w:lineRule="exact"/>
        <w:ind w:firstLine="639" w:firstLineChars="199"/>
        <w:outlineLvl w:val="1"/>
        <w:rPr>
          <w:b/>
          <w:bCs/>
        </w:rPr>
      </w:pPr>
      <w:bookmarkStart w:id="147" w:name="_Toc232606944"/>
      <w:r>
        <w:rPr>
          <w:rFonts w:hint="eastAsia" w:ascii="楷体_GB2312" w:hAnsi="楷体_GB2312" w:eastAsia="楷体_GB2312" w:cs="楷体_GB2312"/>
          <w:b/>
          <w:color w:val="000000" w:themeColor="text1"/>
          <w:szCs w:val="32"/>
          <w14:textFill>
            <w14:solidFill>
              <w14:schemeClr w14:val="tx1"/>
            </w14:solidFill>
          </w14:textFill>
        </w:rPr>
        <w:t>（四）</w:t>
      </w:r>
      <w:bookmarkStart w:id="148" w:name="OLE_LINK218"/>
      <w:r>
        <w:rPr>
          <w:rFonts w:hint="eastAsia" w:ascii="楷体_GB2312" w:hAnsi="楷体_GB2312" w:eastAsia="楷体_GB2312" w:cs="楷体_GB2312"/>
          <w:b/>
          <w:color w:val="000000" w:themeColor="text1"/>
          <w:szCs w:val="32"/>
          <w14:textFill>
            <w14:solidFill>
              <w14:schemeClr w14:val="tx1"/>
            </w14:solidFill>
          </w14:textFill>
        </w:rPr>
        <w:t>提升国际物流服务保障能力</w:t>
      </w:r>
      <w:bookmarkEnd w:id="147"/>
    </w:p>
    <w:bookmarkEnd w:id="148"/>
    <w:p>
      <w:pPr>
        <w:spacing w:line="600" w:lineRule="exact"/>
        <w:ind w:firstLine="640"/>
        <w:rPr>
          <w:rFonts w:cs="Times New Roman"/>
          <w:color w:val="000000" w:themeColor="text1"/>
          <w:szCs w:val="32"/>
          <w14:textFill>
            <w14:solidFill>
              <w14:schemeClr w14:val="tx1"/>
            </w14:solidFill>
          </w14:textFill>
        </w:rPr>
      </w:pPr>
      <w:bookmarkStart w:id="149" w:name="OLE_LINK150"/>
      <w:bookmarkStart w:id="150" w:name="OLE_LINK220"/>
      <w:r>
        <w:rPr>
          <w:rFonts w:hint="eastAsia" w:cs="Times New Roman"/>
          <w:color w:val="000000" w:themeColor="text1"/>
          <w:szCs w:val="32"/>
          <w14:textFill>
            <w14:solidFill>
              <w14:schemeClr w14:val="tx1"/>
            </w14:solidFill>
          </w14:textFill>
        </w:rPr>
        <w:t>稳定东北亚外贸海运航线</w:t>
      </w:r>
      <w:bookmarkEnd w:id="149"/>
      <w:r>
        <w:rPr>
          <w:rFonts w:hint="eastAsia" w:cs="Times New Roman"/>
          <w:color w:val="000000" w:themeColor="text1"/>
          <w:szCs w:val="32"/>
          <w14:textFill>
            <w14:solidFill>
              <w14:schemeClr w14:val="tx1"/>
            </w14:solidFill>
          </w14:textFill>
        </w:rPr>
        <w:t>，深入推进与俄罗斯港口航线合作，</w:t>
      </w:r>
      <w:bookmarkEnd w:id="150"/>
      <w:bookmarkStart w:id="151" w:name="OLE_LINK221"/>
      <w:r>
        <w:rPr>
          <w:rFonts w:hint="eastAsia" w:cs="Times New Roman"/>
          <w:color w:val="000000" w:themeColor="text1"/>
          <w:szCs w:val="32"/>
          <w14:textFill>
            <w14:solidFill>
              <w14:schemeClr w14:val="tx1"/>
            </w14:solidFill>
          </w14:textFill>
        </w:rPr>
        <w:t>拓展连接东南亚、非洲、美洲等国际航线</w:t>
      </w:r>
      <w:bookmarkEnd w:id="151"/>
      <w:r>
        <w:rPr>
          <w:rFonts w:hint="eastAsia" w:cs="Times New Roman"/>
          <w:color w:val="000000" w:themeColor="text1"/>
          <w:szCs w:val="32"/>
          <w14:textFill>
            <w14:solidFill>
              <w14:schemeClr w14:val="tx1"/>
            </w14:solidFill>
          </w14:textFill>
        </w:rPr>
        <w:t>，</w:t>
      </w:r>
      <w:r>
        <w:rPr>
          <w:rFonts w:cs="Times New Roman"/>
          <w:color w:val="000000" w:themeColor="text1"/>
          <w:szCs w:val="32"/>
          <w14:textFill>
            <w14:solidFill>
              <w14:schemeClr w14:val="tx1"/>
            </w14:solidFill>
          </w14:textFill>
        </w:rPr>
        <w:t>积极联动国家中欧班列</w:t>
      </w:r>
      <w:r>
        <w:rPr>
          <w:rFonts w:hint="eastAsia" w:cs="Times New Roman"/>
          <w:color w:val="000000" w:themeColor="text1"/>
          <w:szCs w:val="32"/>
          <w14:textFill>
            <w14:solidFill>
              <w14:schemeClr w14:val="tx1"/>
            </w14:solidFill>
          </w14:textFill>
        </w:rPr>
        <w:t>（沈阳）</w:t>
      </w:r>
      <w:r>
        <w:rPr>
          <w:rFonts w:cs="Times New Roman"/>
          <w:color w:val="000000" w:themeColor="text1"/>
          <w:szCs w:val="32"/>
          <w14:textFill>
            <w14:solidFill>
              <w14:schemeClr w14:val="tx1"/>
            </w14:solidFill>
          </w14:textFill>
        </w:rPr>
        <w:t>集结中心</w:t>
      </w:r>
      <w:r>
        <w:rPr>
          <w:rFonts w:hint="eastAsia" w:cs="Times New Roman"/>
          <w:color w:val="000000" w:themeColor="text1"/>
          <w:szCs w:val="32"/>
          <w14:textFill>
            <w14:solidFill>
              <w14:schemeClr w14:val="tx1"/>
            </w14:solidFill>
          </w14:textFill>
        </w:rPr>
        <w:t>。依托营口国际矿石加工交易等项目建设，提升大宗商品国际多式联运服务能力。推广“</w:t>
      </w:r>
      <w:r>
        <w:rPr>
          <w:rFonts w:cs="Times New Roman"/>
          <w:color w:val="000000" w:themeColor="text1"/>
          <w:szCs w:val="32"/>
          <w14:textFill>
            <w14:solidFill>
              <w14:schemeClr w14:val="tx1"/>
            </w14:solidFill>
          </w14:textFill>
        </w:rPr>
        <w:t>海公联运+TIR</w:t>
      </w:r>
      <w:r>
        <w:rPr>
          <w:rFonts w:hint="eastAsia" w:cs="Times New Roman"/>
          <w:color w:val="000000" w:themeColor="text1"/>
          <w:szCs w:val="32"/>
          <w14:textFill>
            <w14:solidFill>
              <w14:schemeClr w14:val="tx1"/>
            </w14:solidFill>
          </w14:textFill>
        </w:rPr>
        <w:t>”运输模式，常态化运行营口至中亚、欧洲等TIR国际道路运输线路。</w:t>
      </w:r>
    </w:p>
    <w:p>
      <w:pPr>
        <w:spacing w:line="600" w:lineRule="exact"/>
        <w:ind w:firstLine="640"/>
        <w:outlineLvl w:val="0"/>
        <w:rPr>
          <w:rFonts w:hint="eastAsia" w:ascii="黑体" w:hAnsi="黑体" w:eastAsia="黑体" w:cs="黑体"/>
          <w:color w:val="000000" w:themeColor="text1"/>
          <w:szCs w:val="32"/>
          <w14:textFill>
            <w14:solidFill>
              <w14:schemeClr w14:val="tx1"/>
            </w14:solidFill>
          </w14:textFill>
        </w:rPr>
      </w:pPr>
      <w:bookmarkStart w:id="152" w:name="_Toc232606945"/>
      <w:r>
        <w:rPr>
          <w:rFonts w:hint="eastAsia" w:ascii="黑体" w:hAnsi="黑体" w:eastAsia="黑体" w:cs="黑体"/>
          <w:color w:val="000000" w:themeColor="text1"/>
          <w:szCs w:val="32"/>
          <w14:textFill>
            <w14:solidFill>
              <w14:schemeClr w14:val="tx1"/>
            </w14:solidFill>
          </w14:textFill>
        </w:rPr>
        <w:t>七、推进交通运输协调融合发展</w:t>
      </w:r>
      <w:bookmarkEnd w:id="152"/>
    </w:p>
    <w:p>
      <w:pPr>
        <w:topLinePunct/>
        <w:spacing w:line="600" w:lineRule="exact"/>
        <w:ind w:firstLine="639" w:firstLineChars="199"/>
        <w:outlineLvl w:val="1"/>
        <w:rPr>
          <w:b/>
          <w:bCs/>
        </w:rPr>
      </w:pPr>
      <w:bookmarkStart w:id="153" w:name="_Toc232606946"/>
      <w:r>
        <w:rPr>
          <w:rFonts w:hint="eastAsia" w:ascii="楷体_GB2312" w:hAnsi="楷体_GB2312" w:eastAsia="楷体_GB2312" w:cs="楷体_GB2312"/>
          <w:b/>
          <w:color w:val="000000" w:themeColor="text1"/>
          <w:szCs w:val="32"/>
          <w14:textFill>
            <w14:solidFill>
              <w14:schemeClr w14:val="tx1"/>
            </w14:solidFill>
          </w14:textFill>
        </w:rPr>
        <w:t>（一）推动交通运输与能源融合发展</w:t>
      </w:r>
      <w:bookmarkEnd w:id="153"/>
    </w:p>
    <w:p>
      <w:pPr>
        <w:spacing w:line="600" w:lineRule="exact"/>
        <w:ind w:firstLine="640"/>
        <w:rPr>
          <w:color w:val="000000" w:themeColor="text1"/>
          <w14:textFill>
            <w14:solidFill>
              <w14:schemeClr w14:val="tx1"/>
            </w14:solidFill>
          </w14:textFill>
        </w:rPr>
      </w:pPr>
      <w:r>
        <w:rPr>
          <w:rFonts w:hint="eastAsia" w:ascii="仿宋_GB2312" w:hAnsi="仿宋" w:cs="Times New Roman"/>
          <w:color w:val="000000" w:themeColor="text1"/>
          <w:szCs w:val="32"/>
          <w14:textFill>
            <w14:solidFill>
              <w14:schemeClr w14:val="tx1"/>
            </w14:solidFill>
          </w14:textFill>
        </w:rPr>
        <w:t>依托综合交通枢纽</w:t>
      </w:r>
      <w:r>
        <w:rPr>
          <w:rFonts w:hint="eastAsia" w:cs="Times New Roman"/>
          <w:color w:val="000000" w:themeColor="text1"/>
          <w:szCs w:val="32"/>
          <w14:textFill>
            <w14:solidFill>
              <w14:schemeClr w14:val="tx1"/>
            </w14:solidFill>
          </w14:textFill>
        </w:rPr>
        <w:t>、邮政快递分拨中心</w:t>
      </w:r>
      <w:r>
        <w:rPr>
          <w:rFonts w:hint="eastAsia" w:ascii="仿宋_GB2312" w:hAnsi="仿宋" w:cs="Times New Roman"/>
          <w:color w:val="000000" w:themeColor="text1"/>
          <w:szCs w:val="32"/>
          <w14:textFill>
            <w14:solidFill>
              <w14:schemeClr w14:val="tx1"/>
            </w14:solidFill>
          </w14:textFill>
        </w:rPr>
        <w:t>等地开展分布式</w:t>
      </w:r>
      <w:r>
        <w:rPr>
          <w:rFonts w:hint="eastAsia" w:cs="Times New Roman"/>
          <w:color w:val="000000" w:themeColor="text1"/>
          <w:szCs w:val="32"/>
          <w14:textFill>
            <w14:solidFill>
              <w14:schemeClr w14:val="tx1"/>
            </w14:solidFill>
          </w14:textFill>
        </w:rPr>
        <w:t>新</w:t>
      </w:r>
      <w:r>
        <w:rPr>
          <w:rFonts w:hint="eastAsia" w:ascii="仿宋_GB2312" w:hAnsi="仿宋" w:cs="Times New Roman"/>
          <w:color w:val="000000" w:themeColor="text1"/>
          <w:szCs w:val="32"/>
          <w14:textFill>
            <w14:solidFill>
              <w14:schemeClr w14:val="tx1"/>
            </w14:solidFill>
          </w14:textFill>
        </w:rPr>
        <w:t>能源、储能电站及充（换）电设施建设，</w:t>
      </w:r>
      <w:r>
        <w:rPr>
          <w:rFonts w:hint="eastAsia" w:cs="Times New Roman"/>
          <w:color w:val="000000" w:themeColor="text1"/>
          <w:szCs w:val="32"/>
          <w14:textFill>
            <w14:solidFill>
              <w14:schemeClr w14:val="tx1"/>
            </w14:solidFill>
          </w14:textFill>
        </w:rPr>
        <w:t>建设营口机场、营口港鲅鱼圈港区分布式光伏发电项目，研究利用营口港防波堤开展风电机组建设。融入全省绿色船燃保障体系，</w:t>
      </w:r>
      <w:r>
        <w:rPr>
          <w:rFonts w:cs="Times New Roman"/>
          <w:szCs w:val="32"/>
        </w:rPr>
        <w:t>加快绿色</w:t>
      </w:r>
      <w:r>
        <w:rPr>
          <w:rFonts w:hint="eastAsia" w:cs="Times New Roman"/>
          <w:szCs w:val="32"/>
        </w:rPr>
        <w:t>燃料加注设施建设</w:t>
      </w:r>
      <w:r>
        <w:rPr>
          <w:rFonts w:hint="eastAsia" w:cs="Times New Roman"/>
          <w:color w:val="000000" w:themeColor="text1"/>
          <w:szCs w:val="32"/>
          <w14:textFill>
            <w14:solidFill>
              <w14:schemeClr w14:val="tx1"/>
            </w14:solidFill>
          </w14:textFill>
        </w:rPr>
        <w:t>。加快推进公路沿线充电设施建设，实现干线公路每百公路充电桩场站设置率达100%，</w:t>
      </w:r>
      <w:r>
        <w:rPr>
          <w:rFonts w:hint="eastAsia" w:ascii="仿宋_GB2312" w:hAnsi="仿宋" w:cs="Times New Roman"/>
          <w:color w:val="000000" w:themeColor="text1"/>
          <w:szCs w:val="32"/>
          <w14:textFill>
            <w14:solidFill>
              <w14:schemeClr w14:val="tx1"/>
            </w14:solidFill>
          </w14:textFill>
        </w:rPr>
        <w:t>积极推动充电基础设施向具备条件的农村公路延伸。</w:t>
      </w:r>
    </w:p>
    <w:p>
      <w:pPr>
        <w:topLinePunct/>
        <w:spacing w:line="600" w:lineRule="exact"/>
        <w:ind w:firstLine="639" w:firstLineChars="199"/>
        <w:outlineLvl w:val="1"/>
        <w:rPr>
          <w:b/>
          <w:bCs/>
        </w:rPr>
      </w:pPr>
      <w:bookmarkStart w:id="154" w:name="_Toc232606947"/>
      <w:r>
        <w:rPr>
          <w:rFonts w:hint="eastAsia" w:ascii="楷体_GB2312" w:hAnsi="楷体_GB2312" w:eastAsia="楷体_GB2312" w:cs="楷体_GB2312"/>
          <w:b/>
          <w:color w:val="000000" w:themeColor="text1"/>
          <w:szCs w:val="32"/>
          <w14:textFill>
            <w14:solidFill>
              <w14:schemeClr w14:val="tx1"/>
            </w14:solidFill>
          </w14:textFill>
        </w:rPr>
        <w:t>（二）推动交通运输与旅游融合发展</w:t>
      </w:r>
      <w:bookmarkEnd w:id="154"/>
    </w:p>
    <w:p>
      <w:pPr>
        <w:spacing w:line="600" w:lineRule="exact"/>
        <w:ind w:firstLine="640"/>
        <w:rPr>
          <w:rFonts w:hint="eastAsia" w:ascii="仿宋_GB2312" w:hAnsi="仿宋" w:cs="仿宋_GB2312"/>
          <w:color w:val="000000" w:themeColor="text1"/>
          <w:szCs w:val="32"/>
          <w14:textFill>
            <w14:solidFill>
              <w14:schemeClr w14:val="tx1"/>
            </w14:solidFill>
          </w14:textFill>
        </w:rPr>
      </w:pPr>
      <w:bookmarkStart w:id="155" w:name="_Hlk181100255"/>
      <w:r>
        <w:rPr>
          <w:rFonts w:hint="eastAsia"/>
          <w:color w:val="000000" w:themeColor="text1"/>
          <w:szCs w:val="32"/>
          <w14:textFill>
            <w14:solidFill>
              <w14:schemeClr w14:val="tx1"/>
            </w14:solidFill>
          </w14:textFill>
        </w:rPr>
        <w:t>完善“快进慢游”交通服务网络，加快建设生态景观路、魅力旅游风景道，</w:t>
      </w:r>
      <w:bookmarkStart w:id="156" w:name="OLE_LINK4"/>
      <w:r>
        <w:rPr>
          <w:rFonts w:hint="eastAsia" w:cs="Times New Roman"/>
          <w:color w:val="000000" w:themeColor="text1"/>
          <w:szCs w:val="32"/>
          <w14:textFill>
            <w14:solidFill>
              <w14:schemeClr w14:val="tx1"/>
            </w14:solidFill>
          </w14:textFill>
        </w:rPr>
        <w:t>打造“国道G228最美黄金海岸线”，完善公路旅游配套服务设施，推进驼双线</w:t>
      </w:r>
      <w:r>
        <w:rPr>
          <w:rFonts w:cs="Times New Roman"/>
          <w:color w:val="000000" w:themeColor="text1"/>
          <w:szCs w:val="32"/>
          <w14:textFill>
            <w14:solidFill>
              <w14:schemeClr w14:val="tx1"/>
            </w14:solidFill>
          </w14:textFill>
        </w:rPr>
        <w:t>等</w:t>
      </w:r>
      <w:r>
        <w:rPr>
          <w:rFonts w:hint="eastAsia" w:cs="Times New Roman"/>
          <w:color w:val="000000" w:themeColor="text1"/>
          <w:szCs w:val="32"/>
          <w14:textFill>
            <w14:solidFill>
              <w14:schemeClr w14:val="tx1"/>
            </w14:solidFill>
          </w14:textFill>
        </w:rPr>
        <w:t>旅游公路建设。</w:t>
      </w:r>
      <w:bookmarkEnd w:id="156"/>
      <w:r>
        <w:rPr>
          <w:rFonts w:hint="eastAsia" w:cs="Times New Roman"/>
          <w:color w:val="000000" w:themeColor="text1"/>
          <w:szCs w:val="32"/>
          <w14:textFill>
            <w14:solidFill>
              <w14:schemeClr w14:val="tx1"/>
            </w14:solidFill>
          </w14:textFill>
        </w:rPr>
        <w:t>积极开行旅游专线，发展旅游直通车，织密客运枢纽与景区景点客运线路</w:t>
      </w:r>
      <w:r>
        <w:rPr>
          <w:rFonts w:hint="eastAsia" w:ascii="仿宋_GB2312" w:hAnsi="仿宋" w:cs="仿宋_GB2312"/>
          <w:color w:val="000000" w:themeColor="text1"/>
          <w:szCs w:val="32"/>
          <w14:textFill>
            <w14:solidFill>
              <w14:schemeClr w14:val="tx1"/>
            </w14:solidFill>
          </w14:textFill>
        </w:rPr>
        <w:t>。创新旅游服务产品，开辟“海上看营口，夜间游辽河”水路旅游精品航线。</w:t>
      </w:r>
    </w:p>
    <w:p>
      <w:pPr>
        <w:topLinePunct/>
        <w:spacing w:line="600" w:lineRule="exact"/>
        <w:ind w:firstLine="639" w:firstLineChars="199"/>
        <w:outlineLvl w:val="1"/>
        <w:rPr>
          <w:b/>
          <w:bCs/>
        </w:rPr>
      </w:pPr>
      <w:bookmarkStart w:id="157" w:name="_Toc232606948"/>
      <w:r>
        <w:rPr>
          <w:rFonts w:hint="eastAsia" w:ascii="楷体_GB2312" w:hAnsi="楷体_GB2312" w:eastAsia="楷体_GB2312" w:cs="楷体_GB2312"/>
          <w:b/>
          <w:color w:val="000000" w:themeColor="text1"/>
          <w:szCs w:val="32"/>
          <w14:textFill>
            <w14:solidFill>
              <w14:schemeClr w14:val="tx1"/>
            </w14:solidFill>
          </w14:textFill>
        </w:rPr>
        <w:t>（三）推动交通运输与邮政快递融合发展</w:t>
      </w:r>
      <w:bookmarkEnd w:id="157"/>
    </w:p>
    <w:p>
      <w:pPr>
        <w:spacing w:line="600" w:lineRule="exact"/>
        <w:ind w:firstLine="640"/>
        <w:rPr>
          <w:rFonts w:cs="Times New Roman"/>
          <w:color w:val="000000" w:themeColor="text1"/>
          <w:szCs w:val="32"/>
          <w14:textFill>
            <w14:solidFill>
              <w14:schemeClr w14:val="tx1"/>
            </w14:solidFill>
          </w14:textFill>
        </w:rPr>
      </w:pPr>
      <w:r>
        <w:rPr>
          <w:rFonts w:hint="eastAsia" w:ascii="仿宋_GB2312" w:hAnsi="仿宋" w:cs="仿宋_GB2312"/>
          <w:color w:val="000000" w:themeColor="text1"/>
          <w:szCs w:val="32"/>
          <w14:textFill>
            <w14:solidFill>
              <w14:schemeClr w14:val="tx1"/>
            </w14:solidFill>
          </w14:textFill>
        </w:rPr>
        <w:t>持续推进“一点多能、一网多用、功能集约、便利高效”的农村客货邮融合发展模式，引导具备条件的汽车客运站向智慧化客货邮综合服务站转型，拓展大石桥、鲅鱼圈客运站快递物流、旅客集散等功能。因地制宜发展客车代送邮件快件和货运班车模式。积极拓展“农村客货邮+”特色农业、文旅、电商等产业。</w:t>
      </w:r>
    </w:p>
    <w:bookmarkEnd w:id="155"/>
    <w:p>
      <w:pPr>
        <w:topLinePunct/>
        <w:spacing w:line="600" w:lineRule="exact"/>
        <w:ind w:firstLine="639" w:firstLineChars="199"/>
        <w:outlineLvl w:val="1"/>
        <w:rPr>
          <w:b/>
          <w:bCs/>
        </w:rPr>
      </w:pPr>
      <w:bookmarkStart w:id="158" w:name="_Toc232606949"/>
      <w:r>
        <w:rPr>
          <w:rFonts w:hint="eastAsia" w:ascii="楷体_GB2312" w:hAnsi="楷体_GB2312" w:eastAsia="楷体_GB2312" w:cs="楷体_GB2312"/>
          <w:b/>
          <w:color w:val="000000" w:themeColor="text1"/>
          <w:szCs w:val="32"/>
          <w14:textFill>
            <w14:solidFill>
              <w14:schemeClr w14:val="tx1"/>
            </w14:solidFill>
          </w14:textFill>
        </w:rPr>
        <w:t>（四）推动</w:t>
      </w:r>
      <w:bookmarkStart w:id="159" w:name="OLE_LINK152"/>
      <w:r>
        <w:rPr>
          <w:rFonts w:hint="eastAsia" w:ascii="楷体_GB2312" w:hAnsi="楷体_GB2312" w:eastAsia="楷体_GB2312" w:cs="楷体_GB2312"/>
          <w:b/>
          <w:color w:val="000000" w:themeColor="text1"/>
          <w:szCs w:val="32"/>
          <w14:textFill>
            <w14:solidFill>
              <w14:schemeClr w14:val="tx1"/>
            </w14:solidFill>
          </w14:textFill>
        </w:rPr>
        <w:t>交通物流与产业融合</w:t>
      </w:r>
      <w:bookmarkEnd w:id="159"/>
      <w:r>
        <w:rPr>
          <w:rFonts w:hint="eastAsia" w:ascii="楷体_GB2312" w:hAnsi="楷体_GB2312" w:eastAsia="楷体_GB2312" w:cs="楷体_GB2312"/>
          <w:b/>
          <w:color w:val="000000" w:themeColor="text1"/>
          <w:szCs w:val="32"/>
          <w14:textFill>
            <w14:solidFill>
              <w14:schemeClr w14:val="tx1"/>
            </w14:solidFill>
          </w14:textFill>
        </w:rPr>
        <w:t>发展</w:t>
      </w:r>
      <w:bookmarkEnd w:id="158"/>
    </w:p>
    <w:p>
      <w:pPr>
        <w:spacing w:line="600" w:lineRule="exact"/>
        <w:ind w:firstLine="640"/>
        <w:rPr>
          <w:rFonts w:hint="eastAsia" w:ascii="仿宋_GB2312" w:hAnsi="仿宋" w:cs="仿宋_GB2312"/>
          <w:color w:val="000000" w:themeColor="text1"/>
          <w:szCs w:val="32"/>
          <w14:textFill>
            <w14:solidFill>
              <w14:schemeClr w14:val="tx1"/>
            </w14:solidFill>
          </w14:textFill>
        </w:rPr>
      </w:pPr>
      <w:r>
        <w:rPr>
          <w:rFonts w:hint="eastAsia"/>
          <w:color w:val="000000" w:themeColor="text1"/>
          <w14:textFill>
            <w14:solidFill>
              <w14:schemeClr w14:val="tx1"/>
            </w14:solidFill>
          </w14:textFill>
        </w:rPr>
        <w:t>围绕钢铁生产、精细化工、新能源产业等重点产业，推动货运物流企业与货主企业加强战略合作，发展专业化、精细化、定制化供应链服务。</w:t>
      </w:r>
      <w:r>
        <w:rPr>
          <w:rFonts w:hint="eastAsia" w:cs="Times New Roman"/>
          <w:color w:val="000000" w:themeColor="text1"/>
          <w:szCs w:val="32"/>
          <w14:textFill>
            <w14:solidFill>
              <w14:schemeClr w14:val="tx1"/>
            </w14:solidFill>
          </w14:textFill>
        </w:rPr>
        <w:t>大力推进港产城、港航贸一体化，</w:t>
      </w:r>
      <w:r>
        <w:rPr>
          <w:rFonts w:hint="eastAsia"/>
          <w:color w:val="000000" w:themeColor="text1"/>
          <w14:textFill>
            <w14:solidFill>
              <w14:schemeClr w14:val="tx1"/>
            </w14:solidFill>
          </w14:textFill>
        </w:rPr>
        <w:t>加快营口国际矿石加工交易等项目建设。推动快递业与制造业深度融合，强化快递物流业与制造业在生产、供应链、仓储、销售等环节对接。</w:t>
      </w:r>
    </w:p>
    <w:p>
      <w:pPr>
        <w:spacing w:line="600" w:lineRule="exact"/>
        <w:ind w:firstLine="640"/>
        <w:outlineLvl w:val="0"/>
        <w:rPr>
          <w:color w:val="000000" w:themeColor="text1"/>
          <w14:textFill>
            <w14:solidFill>
              <w14:schemeClr w14:val="tx1"/>
            </w14:solidFill>
          </w14:textFill>
        </w:rPr>
      </w:pPr>
      <w:bookmarkStart w:id="160" w:name="_Toc232606950"/>
      <w:bookmarkStart w:id="161" w:name="OLE_LINK227"/>
      <w:r>
        <w:rPr>
          <w:rFonts w:hint="eastAsia" w:ascii="黑体" w:hAnsi="黑体" w:eastAsia="黑体" w:cs="黑体"/>
          <w:color w:val="000000" w:themeColor="text1"/>
          <w:szCs w:val="32"/>
          <w14:textFill>
            <w14:solidFill>
              <w14:schemeClr w14:val="tx1"/>
            </w14:solidFill>
          </w14:textFill>
        </w:rPr>
        <w:t>八、</w:t>
      </w:r>
      <w:bookmarkStart w:id="162" w:name="OLE_LINK117"/>
      <w:bookmarkStart w:id="163" w:name="OLE_LINK1"/>
      <w:r>
        <w:rPr>
          <w:rFonts w:hint="eastAsia" w:ascii="黑体" w:hAnsi="黑体" w:eastAsia="黑体" w:cs="黑体"/>
          <w:color w:val="000000" w:themeColor="text1"/>
          <w:szCs w:val="32"/>
          <w14:textFill>
            <w14:solidFill>
              <w14:schemeClr w14:val="tx1"/>
            </w14:solidFill>
          </w14:textFill>
        </w:rPr>
        <w:t>培育发展交通运输新质生产力</w:t>
      </w:r>
      <w:bookmarkEnd w:id="160"/>
    </w:p>
    <w:bookmarkEnd w:id="161"/>
    <w:bookmarkEnd w:id="162"/>
    <w:p>
      <w:pPr>
        <w:topLinePunct/>
        <w:spacing w:line="600" w:lineRule="exact"/>
        <w:ind w:firstLine="639" w:firstLineChars="199"/>
        <w:outlineLvl w:val="1"/>
        <w:rPr>
          <w:b/>
          <w:bCs/>
        </w:rPr>
      </w:pPr>
      <w:bookmarkStart w:id="164" w:name="_Toc232606951"/>
      <w:r>
        <w:rPr>
          <w:rFonts w:hint="eastAsia" w:ascii="楷体_GB2312" w:hAnsi="楷体_GB2312" w:eastAsia="楷体_GB2312" w:cs="楷体_GB2312"/>
          <w:b/>
          <w:color w:val="000000" w:themeColor="text1"/>
          <w:szCs w:val="32"/>
          <w14:textFill>
            <w14:solidFill>
              <w14:schemeClr w14:val="tx1"/>
            </w14:solidFill>
          </w14:textFill>
        </w:rPr>
        <w:t>（一）</w:t>
      </w:r>
      <w:bookmarkStart w:id="165" w:name="OLE_LINK228"/>
      <w:r>
        <w:rPr>
          <w:rFonts w:hint="eastAsia" w:ascii="楷体_GB2312" w:hAnsi="楷体_GB2312" w:eastAsia="楷体_GB2312" w:cs="楷体_GB2312"/>
          <w:b/>
          <w:color w:val="000000" w:themeColor="text1"/>
          <w:szCs w:val="32"/>
          <w14:textFill>
            <w14:solidFill>
              <w14:schemeClr w14:val="tx1"/>
            </w14:solidFill>
          </w14:textFill>
        </w:rPr>
        <w:t>共建共享综合交通数字底座</w:t>
      </w:r>
      <w:bookmarkEnd w:id="164"/>
      <w:bookmarkEnd w:id="165"/>
    </w:p>
    <w:p>
      <w:pPr>
        <w:spacing w:line="600" w:lineRule="exact"/>
        <w:ind w:firstLine="640"/>
        <w:rPr>
          <w:color w:val="000000" w:themeColor="text1"/>
          <w14:textFill>
            <w14:solidFill>
              <w14:schemeClr w14:val="tx1"/>
            </w14:solidFill>
          </w14:textFill>
        </w:rPr>
      </w:pPr>
      <w:bookmarkStart w:id="166" w:name="OLE_LINK229"/>
      <w:r>
        <w:rPr>
          <w:rFonts w:hint="eastAsia"/>
          <w:color w:val="000000" w:themeColor="text1"/>
          <w14:textFill>
            <w14:solidFill>
              <w14:schemeClr w14:val="tx1"/>
            </w14:solidFill>
          </w14:textFill>
        </w:rPr>
        <w:t>加快构建综合交通数据资源中心，</w:t>
      </w:r>
      <w:bookmarkEnd w:id="166"/>
      <w:r>
        <w:rPr>
          <w:rFonts w:hint="eastAsia"/>
          <w:color w:val="000000" w:themeColor="text1"/>
          <w14:textFill>
            <w14:solidFill>
              <w14:schemeClr w14:val="tx1"/>
            </w14:solidFill>
          </w14:textFill>
        </w:rPr>
        <w:t>加强行业数据资源集成整合，打造高质量数据集管理与服务系统。</w:t>
      </w:r>
      <w:r>
        <w:rPr>
          <w:color w:val="000000" w:themeColor="text1"/>
          <w14:textFill>
            <w14:solidFill>
              <w14:schemeClr w14:val="tx1"/>
            </w14:solidFill>
          </w14:textFill>
        </w:rPr>
        <w:t>完善营口市综合智能监管平台功能</w:t>
      </w:r>
      <w:r>
        <w:rPr>
          <w:rFonts w:hint="eastAsia"/>
          <w:color w:val="000000" w:themeColor="text1"/>
          <w14:textFill>
            <w14:solidFill>
              <w14:schemeClr w14:val="tx1"/>
            </w14:solidFill>
          </w14:textFill>
        </w:rPr>
        <w:t>，提升交通运输多元感知、网络联通、数据分析、智能决策能力。推动</w:t>
      </w:r>
      <w:r>
        <w:rPr>
          <w:rFonts w:hint="eastAsia" w:cs="Times New Roman"/>
          <w:color w:val="000000" w:themeColor="text1"/>
          <w:szCs w:val="32"/>
          <w14:textFill>
            <w14:solidFill>
              <w14:schemeClr w14:val="tx1"/>
            </w14:solidFill>
          </w14:textFill>
        </w:rPr>
        <w:t>综合交通运输大模型建设，加快“</w:t>
      </w:r>
      <w:r>
        <w:rPr>
          <w:rFonts w:cs="Times New Roman"/>
          <w:color w:val="000000" w:themeColor="text1"/>
          <w:szCs w:val="32"/>
          <w14:textFill>
            <w14:solidFill>
              <w14:schemeClr w14:val="tx1"/>
            </w14:solidFill>
          </w14:textFill>
        </w:rPr>
        <w:t>人工智能+交通运输</w:t>
      </w:r>
      <w:r>
        <w:rPr>
          <w:rFonts w:hint="eastAsia" w:cs="Times New Roman"/>
          <w:color w:val="000000" w:themeColor="text1"/>
          <w:szCs w:val="32"/>
          <w14:textFill>
            <w14:solidFill>
              <w14:schemeClr w14:val="tx1"/>
            </w14:solidFill>
          </w14:textFill>
        </w:rPr>
        <w:t>”创新应用场景规模化落地</w:t>
      </w:r>
      <w:r>
        <w:rPr>
          <w:rFonts w:hint="eastAsia" w:cs="Times New Roman"/>
          <w:color w:val="000000" w:themeColor="text1"/>
          <w:spacing w:val="-5"/>
          <w14:textFill>
            <w14:solidFill>
              <w14:schemeClr w14:val="tx1"/>
            </w14:solidFill>
          </w14:textFill>
        </w:rPr>
        <w:t>。</w:t>
      </w:r>
    </w:p>
    <w:p>
      <w:pPr>
        <w:topLinePunct/>
        <w:spacing w:line="600" w:lineRule="exact"/>
        <w:ind w:firstLine="639" w:firstLineChars="199"/>
        <w:outlineLvl w:val="1"/>
        <w:rPr>
          <w:b/>
          <w:bCs/>
        </w:rPr>
      </w:pPr>
      <w:bookmarkStart w:id="167" w:name="_Toc232606952"/>
      <w:r>
        <w:rPr>
          <w:rFonts w:hint="eastAsia" w:ascii="楷体_GB2312" w:hAnsi="楷体_GB2312" w:eastAsia="楷体_GB2312" w:cs="楷体_GB2312"/>
          <w:b/>
          <w:color w:val="000000" w:themeColor="text1"/>
          <w:szCs w:val="32"/>
          <w14:textFill>
            <w14:solidFill>
              <w14:schemeClr w14:val="tx1"/>
            </w14:solidFill>
          </w14:textFill>
        </w:rPr>
        <w:t>（二）</w:t>
      </w:r>
      <w:bookmarkStart w:id="168" w:name="OLE_LINK230"/>
      <w:r>
        <w:rPr>
          <w:rFonts w:hint="eastAsia" w:ascii="楷体_GB2312" w:hAnsi="楷体_GB2312" w:eastAsia="楷体_GB2312" w:cs="楷体_GB2312"/>
          <w:b/>
          <w:color w:val="000000" w:themeColor="text1"/>
          <w:szCs w:val="32"/>
          <w14:textFill>
            <w14:solidFill>
              <w14:schemeClr w14:val="tx1"/>
            </w14:solidFill>
          </w14:textFill>
        </w:rPr>
        <w:t>推动基础设施数字化转型升级</w:t>
      </w:r>
      <w:bookmarkEnd w:id="167"/>
    </w:p>
    <w:bookmarkEnd w:id="168"/>
    <w:p>
      <w:pPr>
        <w:spacing w:line="600" w:lineRule="exact"/>
        <w:ind w:firstLine="620"/>
        <w:rPr>
          <w:rFonts w:cs="Times New Roman"/>
          <w:color w:val="000000" w:themeColor="text1"/>
          <w:spacing w:val="-5"/>
          <w14:textFill>
            <w14:solidFill>
              <w14:schemeClr w14:val="tx1"/>
            </w14:solidFill>
          </w14:textFill>
        </w:rPr>
      </w:pPr>
      <w:r>
        <w:rPr>
          <w:rFonts w:hint="eastAsia" w:cs="Times New Roman"/>
          <w:color w:val="000000" w:themeColor="text1"/>
          <w:spacing w:val="-5"/>
          <w14:textFill>
            <w14:solidFill>
              <w14:schemeClr w14:val="tx1"/>
            </w14:solidFill>
          </w14:textFill>
        </w:rPr>
        <w:t>紧抓全省“一廊双核”进关出海大通道公路交通基础设施数字化转型契机，依托国道黑大线加快构建公路重点桥梁、隧道、边坡等基础设施结构感知网络。</w:t>
      </w:r>
      <w:bookmarkStart w:id="169" w:name="OLE_LINK232"/>
      <w:r>
        <w:rPr>
          <w:rFonts w:cs="Times New Roman"/>
          <w:color w:val="000000" w:themeColor="text1"/>
          <w:spacing w:val="-5"/>
          <w14:textFill>
            <w14:solidFill>
              <w14:schemeClr w14:val="tx1"/>
            </w14:solidFill>
          </w14:textFill>
        </w:rPr>
        <w:t>推进港口智能感知网络建设，</w:t>
      </w:r>
      <w:bookmarkEnd w:id="169"/>
      <w:bookmarkStart w:id="170" w:name="OLE_LINK233"/>
      <w:r>
        <w:rPr>
          <w:rFonts w:hint="eastAsia" w:cs="Times New Roman"/>
          <w:color w:val="000000" w:themeColor="text1"/>
          <w:spacing w:val="-5"/>
          <w14:textFill>
            <w14:solidFill>
              <w14:schemeClr w14:val="tx1"/>
            </w14:solidFill>
          </w14:textFill>
        </w:rPr>
        <w:t>加快推动更高水平自主可控集装箱码头建设或改造，推进大宗干散货码头作业自动化。构建覆盖全港区、统一高效的“数字大脑”，实现对船舶靠泊、堆场统筹、设备调配等核心作业环节的全局优化和智能决策。</w:t>
      </w:r>
    </w:p>
    <w:bookmarkEnd w:id="170"/>
    <w:p>
      <w:pPr>
        <w:topLinePunct/>
        <w:spacing w:line="600" w:lineRule="exact"/>
        <w:ind w:firstLine="639" w:firstLineChars="199"/>
        <w:outlineLvl w:val="1"/>
        <w:rPr>
          <w:b/>
          <w:bCs/>
        </w:rPr>
      </w:pPr>
      <w:bookmarkStart w:id="171" w:name="_Toc232606953"/>
      <w:r>
        <w:rPr>
          <w:rFonts w:hint="eastAsia" w:ascii="楷体_GB2312" w:hAnsi="楷体_GB2312" w:eastAsia="楷体_GB2312" w:cs="楷体_GB2312"/>
          <w:b/>
          <w:color w:val="000000" w:themeColor="text1"/>
          <w:szCs w:val="32"/>
          <w14:textFill>
            <w14:solidFill>
              <w14:schemeClr w14:val="tx1"/>
            </w14:solidFill>
          </w14:textFill>
        </w:rPr>
        <w:t>（三）</w:t>
      </w:r>
      <w:bookmarkStart w:id="172" w:name="OLE_LINK135"/>
      <w:r>
        <w:rPr>
          <w:rFonts w:hint="eastAsia" w:ascii="楷体_GB2312" w:hAnsi="楷体_GB2312" w:eastAsia="楷体_GB2312" w:cs="楷体_GB2312"/>
          <w:b/>
          <w:color w:val="000000" w:themeColor="text1"/>
          <w:szCs w:val="32"/>
          <w14:textFill>
            <w14:solidFill>
              <w14:schemeClr w14:val="tx1"/>
            </w14:solidFill>
          </w14:textFill>
        </w:rPr>
        <w:t>推进数据赋能运输服务发展</w:t>
      </w:r>
      <w:bookmarkEnd w:id="171"/>
    </w:p>
    <w:bookmarkEnd w:id="172"/>
    <w:p>
      <w:pPr>
        <w:spacing w:line="600" w:lineRule="exact"/>
        <w:ind w:firstLine="620"/>
        <w:rPr>
          <w:rFonts w:cs="Times New Roman"/>
          <w:color w:val="000000" w:themeColor="text1"/>
          <w:spacing w:val="-5"/>
          <w14:textFill>
            <w14:solidFill>
              <w14:schemeClr w14:val="tx1"/>
            </w14:solidFill>
          </w14:textFill>
        </w:rPr>
      </w:pPr>
      <w:r>
        <w:rPr>
          <w:rFonts w:hint="eastAsia" w:cs="Times New Roman"/>
          <w:color w:val="000000" w:themeColor="text1"/>
          <w:spacing w:val="-5"/>
          <w14:textFill>
            <w14:solidFill>
              <w14:schemeClr w14:val="tx1"/>
            </w14:solidFill>
          </w14:textFill>
        </w:rPr>
        <w:t>提升出行服务数智化水平</w:t>
      </w:r>
      <w:bookmarkStart w:id="173" w:name="OLE_LINK139"/>
      <w:bookmarkStart w:id="174" w:name="OLE_LINK146"/>
      <w:r>
        <w:rPr>
          <w:rFonts w:hint="eastAsia" w:cs="Times New Roman"/>
          <w:color w:val="000000" w:themeColor="text1"/>
          <w:spacing w:val="-5"/>
          <w14:textFill>
            <w14:solidFill>
              <w14:schemeClr w14:val="tx1"/>
            </w14:solidFill>
          </w14:textFill>
        </w:rPr>
        <w:t>，</w:t>
      </w:r>
      <w:r>
        <w:rPr>
          <w:rFonts w:hint="eastAsia" w:cs="Times New Roman"/>
          <w:szCs w:val="32"/>
        </w:rPr>
        <w:t>发展“出行即服务”模式，</w:t>
      </w:r>
      <w:r>
        <w:rPr>
          <w:rFonts w:hint="eastAsia" w:cs="Times New Roman"/>
          <w:color w:val="000000" w:themeColor="text1"/>
          <w:spacing w:val="-5"/>
          <w14:textFill>
            <w14:solidFill>
              <w14:schemeClr w14:val="tx1"/>
            </w14:solidFill>
          </w14:textFill>
        </w:rPr>
        <w:t>打造基于移动智能终端技术的出行服务应用，</w:t>
      </w:r>
      <w:r>
        <w:rPr>
          <w:rFonts w:hint="eastAsia" w:cs="Times New Roman"/>
          <w:szCs w:val="32"/>
        </w:rPr>
        <w:t>提供多样化、便利化、均等化的一站式出行规划服务，</w:t>
      </w:r>
      <w:r>
        <w:rPr>
          <w:rFonts w:hint="eastAsia" w:cs="Times New Roman"/>
          <w:color w:val="000000" w:themeColor="text1"/>
          <w:spacing w:val="-5"/>
          <w14:textFill>
            <w14:solidFill>
              <w14:schemeClr w14:val="tx1"/>
            </w14:solidFill>
          </w14:textFill>
        </w:rPr>
        <w:t>推动智能公交、定制客运等出行服务新业态规范发展</w:t>
      </w:r>
      <w:bookmarkEnd w:id="173"/>
      <w:r>
        <w:rPr>
          <w:rFonts w:hint="eastAsia" w:cs="Times New Roman"/>
          <w:color w:val="000000" w:themeColor="text1"/>
          <w:spacing w:val="-5"/>
          <w14:textFill>
            <w14:solidFill>
              <w14:schemeClr w14:val="tx1"/>
            </w14:solidFill>
          </w14:textFill>
        </w:rPr>
        <w:t>。</w:t>
      </w:r>
      <w:r>
        <w:rPr>
          <w:rFonts w:hint="eastAsia" w:cs="Times New Roman"/>
          <w:szCs w:val="32"/>
        </w:rPr>
        <w:t>推动货运物流数字化发展，</w:t>
      </w:r>
      <w:bookmarkEnd w:id="174"/>
      <w:r>
        <w:rPr>
          <w:rFonts w:hint="eastAsia" w:cs="Times New Roman"/>
          <w:color w:val="000000" w:themeColor="text1"/>
          <w:spacing w:val="-5"/>
          <w14:textFill>
            <w14:solidFill>
              <w14:schemeClr w14:val="tx1"/>
            </w14:solidFill>
          </w14:textFill>
        </w:rPr>
        <w:t>升级完善营口港集疏运管理、集装箱货运站智能联运系统，实现港口、铁路、船公司及货主企业的运力资源、货物状态、单证流转等数据实时共享与全程追踪。</w:t>
      </w:r>
      <w:r>
        <w:rPr>
          <w:rFonts w:cs="Times New Roman"/>
          <w:color w:val="000000" w:themeColor="text1"/>
          <w:spacing w:val="-5"/>
          <w14:textFill>
            <w14:solidFill>
              <w14:schemeClr w14:val="tx1"/>
            </w14:solidFill>
          </w14:textFill>
        </w:rPr>
        <w:t>依托东北海陆大通道综合运输公共服务平台加快推广铁水联运</w:t>
      </w:r>
      <w:r>
        <w:rPr>
          <w:rFonts w:hint="eastAsia" w:cs="Times New Roman"/>
          <w:color w:val="000000" w:themeColor="text1"/>
          <w:spacing w:val="-5"/>
          <w14:textFill>
            <w14:solidFill>
              <w14:schemeClr w14:val="tx1"/>
            </w14:solidFill>
          </w14:textFill>
        </w:rPr>
        <w:t>“一单制”</w:t>
      </w:r>
      <w:r>
        <w:rPr>
          <w:rFonts w:cs="Times New Roman"/>
          <w:color w:val="000000" w:themeColor="text1"/>
          <w:spacing w:val="-5"/>
          <w14:textFill>
            <w14:solidFill>
              <w14:schemeClr w14:val="tx1"/>
            </w14:solidFill>
          </w14:textFill>
        </w:rPr>
        <w:t>试点应用</w:t>
      </w:r>
      <w:r>
        <w:rPr>
          <w:rFonts w:hint="eastAsia" w:cs="Times New Roman"/>
          <w:color w:val="000000" w:themeColor="text1"/>
          <w:spacing w:val="-5"/>
          <w14:textFill>
            <w14:solidFill>
              <w14:schemeClr w14:val="tx1"/>
            </w14:solidFill>
          </w14:textFill>
        </w:rPr>
        <w:t>。</w:t>
      </w:r>
    </w:p>
    <w:p>
      <w:pPr>
        <w:topLinePunct/>
        <w:spacing w:line="600" w:lineRule="exact"/>
        <w:ind w:firstLine="639" w:firstLineChars="199"/>
        <w:outlineLvl w:val="1"/>
        <w:rPr>
          <w:b/>
          <w:bCs/>
        </w:rPr>
      </w:pPr>
      <w:bookmarkStart w:id="175" w:name="_Toc232606954"/>
      <w:r>
        <w:rPr>
          <w:rFonts w:hint="eastAsia" w:ascii="楷体_GB2312" w:hAnsi="楷体_GB2312" w:eastAsia="楷体_GB2312" w:cs="楷体_GB2312"/>
          <w:b/>
          <w:color w:val="000000" w:themeColor="text1"/>
          <w:szCs w:val="32"/>
          <w14:textFill>
            <w14:solidFill>
              <w14:schemeClr w14:val="tx1"/>
            </w14:solidFill>
          </w14:textFill>
        </w:rPr>
        <w:t>（四）</w:t>
      </w:r>
      <w:bookmarkStart w:id="176" w:name="OLE_LINK235"/>
      <w:r>
        <w:rPr>
          <w:rFonts w:hint="eastAsia" w:ascii="楷体_GB2312" w:hAnsi="楷体_GB2312" w:eastAsia="楷体_GB2312" w:cs="楷体_GB2312"/>
          <w:b/>
          <w:color w:val="000000" w:themeColor="text1"/>
          <w:szCs w:val="32"/>
          <w14:textFill>
            <w14:solidFill>
              <w14:schemeClr w14:val="tx1"/>
            </w14:solidFill>
          </w14:textFill>
        </w:rPr>
        <w:t>持续</w:t>
      </w:r>
      <w:bookmarkEnd w:id="176"/>
      <w:r>
        <w:rPr>
          <w:rFonts w:hint="eastAsia" w:ascii="楷体_GB2312" w:hAnsi="楷体_GB2312" w:eastAsia="楷体_GB2312" w:cs="楷体_GB2312"/>
          <w:b/>
          <w:color w:val="000000" w:themeColor="text1"/>
          <w:szCs w:val="32"/>
          <w14:textFill>
            <w14:solidFill>
              <w14:schemeClr w14:val="tx1"/>
            </w14:solidFill>
          </w14:textFill>
        </w:rPr>
        <w:t>培育新场景新业态</w:t>
      </w:r>
      <w:bookmarkEnd w:id="175"/>
    </w:p>
    <w:p>
      <w:pPr>
        <w:spacing w:line="600" w:lineRule="exact"/>
        <w:ind w:firstLine="640"/>
        <w:rPr>
          <w:rFonts w:cs="Times New Roman"/>
          <w:color w:val="000000" w:themeColor="text1"/>
          <w:szCs w:val="32"/>
          <w14:textFill>
            <w14:solidFill>
              <w14:schemeClr w14:val="tx1"/>
            </w14:solidFill>
          </w14:textFill>
        </w:rPr>
      </w:pPr>
      <w:bookmarkStart w:id="177" w:name="OLE_LINK236"/>
      <w:r>
        <w:rPr>
          <w:rFonts w:cs="仿宋_GB2312"/>
          <w:color w:val="000000" w:themeColor="text1"/>
          <w:szCs w:val="32"/>
          <w14:textFill>
            <w14:solidFill>
              <w14:schemeClr w14:val="tx1"/>
            </w14:solidFill>
          </w14:textFill>
        </w:rPr>
        <w:t>探索建设</w:t>
      </w:r>
      <w:r>
        <w:rPr>
          <w:rFonts w:hint="eastAsia" w:cs="仿宋_GB2312"/>
          <w:color w:val="000000" w:themeColor="text1"/>
          <w:szCs w:val="32"/>
          <w14:textFill>
            <w14:solidFill>
              <w14:schemeClr w14:val="tx1"/>
            </w14:solidFill>
          </w14:textFill>
        </w:rPr>
        <w:t>低空交通枢纽，布局无人机物流集散节点，</w:t>
      </w:r>
      <w:r>
        <w:rPr>
          <w:rFonts w:hint="eastAsia" w:cs="Times New Roman"/>
          <w:color w:val="000000" w:themeColor="text1"/>
          <w:szCs w:val="32"/>
          <w14:textFill>
            <w14:solidFill>
              <w14:schemeClr w14:val="tx1"/>
            </w14:solidFill>
          </w14:textFill>
        </w:rPr>
        <w:t>有序推动低空运输发展，打造低空物流、农林植保、城市治理、应急救援等典型应用场景。研究建设数字化、智能化低空飞行服务平台，为低空飞行活动提供飞行申报、情报、告警及信息发布等低空飞行服务和协同运行服务。支持在产业园区、物流园区、综合货运枢纽等区域，探索开展自动驾驶、自动装卸、智慧仓储等新技术应用。</w:t>
      </w:r>
    </w:p>
    <w:bookmarkEnd w:id="163"/>
    <w:bookmarkEnd w:id="177"/>
    <w:p>
      <w:pPr>
        <w:spacing w:line="600" w:lineRule="exact"/>
        <w:ind w:firstLine="640"/>
        <w:outlineLvl w:val="0"/>
        <w:rPr>
          <w:rFonts w:hint="eastAsia" w:ascii="黑体" w:hAnsi="黑体" w:cs="黑体"/>
          <w:color w:val="000000" w:themeColor="text1"/>
          <w14:textFill>
            <w14:solidFill>
              <w14:schemeClr w14:val="tx1"/>
            </w14:solidFill>
          </w14:textFill>
        </w:rPr>
      </w:pPr>
      <w:bookmarkStart w:id="178" w:name="_Toc232606955"/>
      <w:r>
        <w:rPr>
          <w:rFonts w:hint="eastAsia" w:ascii="黑体" w:hAnsi="黑体" w:eastAsia="黑体" w:cs="黑体"/>
          <w:color w:val="000000" w:themeColor="text1"/>
          <w:szCs w:val="32"/>
          <w14:textFill>
            <w14:solidFill>
              <w14:schemeClr w14:val="tx1"/>
            </w14:solidFill>
          </w14:textFill>
        </w:rPr>
        <w:t>九、</w:t>
      </w:r>
      <w:bookmarkStart w:id="179" w:name="OLE_LINK118"/>
      <w:r>
        <w:rPr>
          <w:rFonts w:hint="eastAsia" w:ascii="黑体" w:hAnsi="黑体" w:eastAsia="黑体" w:cs="黑体"/>
          <w:color w:val="000000" w:themeColor="text1"/>
          <w:szCs w:val="32"/>
          <w14:textFill>
            <w14:solidFill>
              <w14:schemeClr w14:val="tx1"/>
            </w14:solidFill>
          </w14:textFill>
        </w:rPr>
        <w:t>推动交通运输绿色低碳转型发展</w:t>
      </w:r>
      <w:bookmarkEnd w:id="178"/>
    </w:p>
    <w:bookmarkEnd w:id="179"/>
    <w:p>
      <w:pPr>
        <w:topLinePunct/>
        <w:spacing w:line="600" w:lineRule="exact"/>
        <w:ind w:firstLine="639" w:firstLineChars="199"/>
        <w:outlineLvl w:val="1"/>
        <w:rPr>
          <w:b/>
          <w:bCs/>
        </w:rPr>
      </w:pPr>
      <w:bookmarkStart w:id="180" w:name="_Toc232606956"/>
      <w:r>
        <w:rPr>
          <w:rFonts w:hint="eastAsia" w:ascii="楷体_GB2312" w:hAnsi="楷体_GB2312" w:eastAsia="楷体_GB2312" w:cs="楷体_GB2312"/>
          <w:b/>
          <w:color w:val="000000" w:themeColor="text1"/>
          <w:szCs w:val="32"/>
          <w14:textFill>
            <w14:solidFill>
              <w14:schemeClr w14:val="tx1"/>
            </w14:solidFill>
          </w14:textFill>
        </w:rPr>
        <w:t>（一）推进交通基础设施绿色低碳改造</w:t>
      </w:r>
      <w:bookmarkEnd w:id="180"/>
    </w:p>
    <w:p>
      <w:pPr>
        <w:spacing w:line="600" w:lineRule="exact"/>
        <w:ind w:firstLine="640"/>
        <w:rPr>
          <w:rFonts w:cs="Times New Roman"/>
          <w:color w:val="000000" w:themeColor="text1"/>
          <w:szCs w:val="32"/>
          <w14:textFill>
            <w14:solidFill>
              <w14:schemeClr w14:val="tx1"/>
            </w14:solidFill>
          </w14:textFill>
        </w:rPr>
      </w:pPr>
      <w:r>
        <w:rPr>
          <w:rFonts w:hint="eastAsia" w:cs="Times New Roman"/>
          <w:color w:val="000000" w:themeColor="text1"/>
          <w:szCs w:val="32"/>
          <w14:textFill>
            <w14:solidFill>
              <w14:schemeClr w14:val="tx1"/>
            </w14:solidFill>
          </w14:textFill>
        </w:rPr>
        <w:t>落实“一网四化”要求，加强与交通基础设施更新和数智化改造协同，实施交通基础设施绿色化更新改造工程。推进港口码头绿色化更新改造，全面提升节能低碳、污染防治、生态保护水平。</w:t>
      </w:r>
      <w:r>
        <w:rPr>
          <w:rFonts w:cs="Times New Roman"/>
          <w:color w:val="000000" w:themeColor="text1"/>
          <w:szCs w:val="32"/>
          <w14:textFill>
            <w14:solidFill>
              <w14:schemeClr w14:val="tx1"/>
            </w14:solidFill>
          </w14:textFill>
        </w:rPr>
        <w:t>持续提升港口岸电设施覆盖率和使用率，实现新建码头岸电全覆盖</w:t>
      </w:r>
      <w:r>
        <w:rPr>
          <w:rFonts w:hint="eastAsia" w:cs="Times New Roman"/>
          <w:color w:val="000000" w:themeColor="text1"/>
          <w:szCs w:val="32"/>
          <w14:textFill>
            <w14:solidFill>
              <w14:schemeClr w14:val="tx1"/>
            </w14:solidFill>
          </w14:textFill>
        </w:rPr>
        <w:t>。实施机场、物流园区、公交场站等绿色低碳改造，推进清洁能源开发利用，完善清洁能源补能设施网络。</w:t>
      </w:r>
    </w:p>
    <w:p>
      <w:pPr>
        <w:topLinePunct/>
        <w:spacing w:line="600" w:lineRule="exact"/>
        <w:ind w:firstLine="639" w:firstLineChars="199"/>
        <w:outlineLvl w:val="1"/>
        <w:rPr>
          <w:b/>
          <w:bCs/>
        </w:rPr>
      </w:pPr>
      <w:bookmarkStart w:id="181" w:name="_Toc232606957"/>
      <w:r>
        <w:rPr>
          <w:rFonts w:hint="eastAsia" w:ascii="楷体_GB2312" w:hAnsi="楷体_GB2312" w:eastAsia="楷体_GB2312" w:cs="楷体_GB2312"/>
          <w:b/>
          <w:color w:val="000000" w:themeColor="text1"/>
          <w:szCs w:val="32"/>
          <w14:textFill>
            <w14:solidFill>
              <w14:schemeClr w14:val="tx1"/>
            </w14:solidFill>
          </w14:textFill>
        </w:rPr>
        <w:t>（二）大力推广清洁低碳运输装备</w:t>
      </w:r>
      <w:bookmarkEnd w:id="181"/>
    </w:p>
    <w:p>
      <w:pPr>
        <w:spacing w:line="600" w:lineRule="exact"/>
        <w:ind w:firstLine="640"/>
        <w:rPr>
          <w:rFonts w:cs="Times New Roman"/>
          <w:color w:val="000000" w:themeColor="text1"/>
          <w:szCs w:val="32"/>
          <w14:textFill>
            <w14:solidFill>
              <w14:schemeClr w14:val="tx1"/>
            </w14:solidFill>
          </w14:textFill>
        </w:rPr>
      </w:pPr>
      <w:r>
        <w:rPr>
          <w:rFonts w:cs="Times New Roman"/>
          <w:szCs w:val="32"/>
        </w:rPr>
        <w:t>全方位推进新能源车辆在城市公交、出租、邮政快递、城市货运配送、港口、机场等领域应用，</w:t>
      </w:r>
      <w:r>
        <w:rPr>
          <w:rFonts w:hint="eastAsia" w:cs="Times New Roman"/>
          <w:szCs w:val="32"/>
        </w:rPr>
        <w:t>持续</w:t>
      </w:r>
      <w:r>
        <w:rPr>
          <w:rFonts w:cs="Times New Roman"/>
          <w:szCs w:val="32"/>
        </w:rPr>
        <w:t>推动国四及以下标准营运车辆淘汰更新</w:t>
      </w:r>
      <w:r>
        <w:rPr>
          <w:rFonts w:hint="eastAsia" w:cs="Times New Roman"/>
          <w:szCs w:val="32"/>
        </w:rPr>
        <w:t>，</w:t>
      </w:r>
      <w:r>
        <w:rPr>
          <w:rFonts w:hint="eastAsia" w:cs="Times New Roman"/>
          <w:color w:val="000000" w:themeColor="text1"/>
          <w:szCs w:val="32"/>
          <w14:textFill>
            <w14:solidFill>
              <w14:schemeClr w14:val="tx1"/>
            </w14:solidFill>
          </w14:textFill>
        </w:rPr>
        <w:t>全面实施汽车排放检验与维护制度。</w:t>
      </w:r>
      <w:r>
        <w:rPr>
          <w:rFonts w:cs="Times New Roman"/>
          <w:szCs w:val="32"/>
        </w:rPr>
        <w:t>大力推动新能源重卡规模化应用，发展零碳零排放货运。加快报废更新高耗能</w:t>
      </w:r>
      <w:r>
        <w:rPr>
          <w:rFonts w:hint="eastAsia" w:cs="Times New Roman"/>
          <w:szCs w:val="32"/>
        </w:rPr>
        <w:t>、</w:t>
      </w:r>
      <w:r>
        <w:rPr>
          <w:rFonts w:cs="Times New Roman"/>
          <w:szCs w:val="32"/>
        </w:rPr>
        <w:t>高排放老旧营运船舶，</w:t>
      </w:r>
      <w:r>
        <w:rPr>
          <w:rFonts w:hint="eastAsia" w:cs="Times New Roman"/>
          <w:color w:val="000000" w:themeColor="text1"/>
          <w:szCs w:val="32"/>
          <w14:textFill>
            <w14:solidFill>
              <w14:schemeClr w14:val="tx1"/>
            </w14:solidFill>
          </w14:textFill>
        </w:rPr>
        <w:t>推动纯电动、</w:t>
      </w:r>
      <w:r>
        <w:rPr>
          <w:rFonts w:cs="Times New Roman"/>
          <w:szCs w:val="32"/>
        </w:rPr>
        <w:t>液化天然气</w:t>
      </w:r>
      <w:r>
        <w:rPr>
          <w:rFonts w:hint="eastAsia" w:cs="Times New Roman"/>
          <w:szCs w:val="32"/>
        </w:rPr>
        <w:t>（</w:t>
      </w:r>
      <w:r>
        <w:rPr>
          <w:rFonts w:cs="Times New Roman"/>
          <w:szCs w:val="32"/>
        </w:rPr>
        <w:t>LNG</w:t>
      </w:r>
      <w:r>
        <w:rPr>
          <w:rFonts w:hint="eastAsia" w:cs="Times New Roman"/>
          <w:szCs w:val="32"/>
        </w:rPr>
        <w:t>）</w:t>
      </w:r>
      <w:r>
        <w:rPr>
          <w:rFonts w:cs="Times New Roman"/>
          <w:szCs w:val="32"/>
        </w:rPr>
        <w:t>、生物柴油、绿醇、绿氨、绿氢</w:t>
      </w:r>
      <w:r>
        <w:rPr>
          <w:rFonts w:hint="eastAsia" w:cs="Times New Roman"/>
          <w:szCs w:val="32"/>
        </w:rPr>
        <w:t>等清洁能源</w:t>
      </w:r>
      <w:r>
        <w:rPr>
          <w:rFonts w:hint="eastAsia" w:cs="Times New Roman"/>
          <w:color w:val="000000" w:themeColor="text1"/>
          <w:szCs w:val="32"/>
          <w14:textFill>
            <w14:solidFill>
              <w14:schemeClr w14:val="tx1"/>
            </w14:solidFill>
          </w14:textFill>
        </w:rPr>
        <w:t>船舶应用。</w:t>
      </w:r>
    </w:p>
    <w:p>
      <w:pPr>
        <w:topLinePunct/>
        <w:spacing w:line="600" w:lineRule="exact"/>
        <w:ind w:firstLine="639" w:firstLineChars="199"/>
        <w:outlineLvl w:val="1"/>
        <w:rPr>
          <w:b/>
          <w:bCs/>
        </w:rPr>
      </w:pPr>
      <w:bookmarkStart w:id="182" w:name="_Toc232606958"/>
      <w:r>
        <w:rPr>
          <w:rFonts w:hint="eastAsia" w:ascii="楷体_GB2312" w:hAnsi="楷体_GB2312" w:eastAsia="楷体_GB2312" w:cs="楷体_GB2312"/>
          <w:b/>
          <w:color w:val="000000" w:themeColor="text1"/>
          <w:szCs w:val="32"/>
          <w14:textFill>
            <w14:solidFill>
              <w14:schemeClr w14:val="tx1"/>
            </w14:solidFill>
          </w14:textFill>
        </w:rPr>
        <w:t>（三）持续推动资源节约集约利用</w:t>
      </w:r>
      <w:bookmarkEnd w:id="182"/>
    </w:p>
    <w:p>
      <w:pPr>
        <w:spacing w:line="600" w:lineRule="exact"/>
        <w:ind w:firstLine="640"/>
        <w:rPr>
          <w:rFonts w:cs="Times New Roman"/>
          <w:color w:val="000000" w:themeColor="text1"/>
          <w:szCs w:val="32"/>
          <w14:textFill>
            <w14:solidFill>
              <w14:schemeClr w14:val="tx1"/>
            </w14:solidFill>
          </w14:textFill>
        </w:rPr>
      </w:pPr>
      <w:r>
        <w:rPr>
          <w:rFonts w:hint="eastAsia" w:cs="Times New Roman"/>
          <w:color w:val="000000" w:themeColor="text1"/>
          <w:szCs w:val="32"/>
          <w14:textFill>
            <w14:solidFill>
              <w14:schemeClr w14:val="tx1"/>
            </w14:solidFill>
          </w14:textFill>
        </w:rPr>
        <w:t>加强</w:t>
      </w:r>
      <w:r>
        <w:rPr>
          <w:rFonts w:hint="eastAsia" w:cs="仿宋_GB2312"/>
          <w:color w:val="000000" w:themeColor="text1"/>
          <w:szCs w:val="32"/>
          <w14:textFill>
            <w14:solidFill>
              <w14:schemeClr w14:val="tx1"/>
            </w14:solidFill>
          </w14:textFill>
        </w:rPr>
        <w:t>交通基础设施与国土空间衔接协调，强化交通基础设施资源要素保障。推动铁路、公路、城市道路等线性交通基础设施线位统筹和断面空间整合，强化交通基础设施改扩建工程集约利用既有廊道资源。</w:t>
      </w:r>
      <w:r>
        <w:rPr>
          <w:rFonts w:hint="eastAsia" w:cs="Times New Roman"/>
          <w:color w:val="000000" w:themeColor="text1"/>
          <w:szCs w:val="32"/>
          <w14:textFill>
            <w14:solidFill>
              <w14:schemeClr w14:val="tx1"/>
            </w14:solidFill>
          </w14:textFill>
        </w:rPr>
        <w:t>推广交通基础设施废旧材料和设施设备循环利用，推动普通国省干线沥青路面材料循环利用率达85%以上。</w:t>
      </w:r>
    </w:p>
    <w:p>
      <w:pPr>
        <w:topLinePunct/>
        <w:spacing w:line="600" w:lineRule="exact"/>
        <w:ind w:firstLine="639" w:firstLineChars="199"/>
        <w:outlineLvl w:val="1"/>
        <w:rPr>
          <w:b/>
          <w:bCs/>
        </w:rPr>
      </w:pPr>
      <w:bookmarkStart w:id="183" w:name="_Toc232606959"/>
      <w:r>
        <w:rPr>
          <w:rFonts w:hint="eastAsia" w:ascii="楷体_GB2312" w:hAnsi="楷体_GB2312" w:eastAsia="楷体_GB2312" w:cs="楷体_GB2312"/>
          <w:b/>
          <w:color w:val="000000" w:themeColor="text1"/>
          <w:szCs w:val="32"/>
          <w14:textFill>
            <w14:solidFill>
              <w14:schemeClr w14:val="tx1"/>
            </w14:solidFill>
          </w14:textFill>
        </w:rPr>
        <w:t>（四）持续深入推进污染防治攻坚</w:t>
      </w:r>
      <w:bookmarkEnd w:id="183"/>
    </w:p>
    <w:p>
      <w:pPr>
        <w:spacing w:line="600" w:lineRule="exact"/>
        <w:ind w:firstLine="640"/>
        <w:rPr>
          <w:rFonts w:cs="Times New Roman"/>
          <w:color w:val="000000" w:themeColor="text1"/>
          <w:szCs w:val="32"/>
          <w14:textFill>
            <w14:solidFill>
              <w14:schemeClr w14:val="tx1"/>
            </w14:solidFill>
          </w14:textFill>
        </w:rPr>
      </w:pPr>
      <w:r>
        <w:rPr>
          <w:rFonts w:hint="eastAsia" w:cs="Times New Roman"/>
          <w:color w:val="000000" w:themeColor="text1"/>
          <w:szCs w:val="32"/>
          <w14:textFill>
            <w14:solidFill>
              <w14:schemeClr w14:val="tx1"/>
            </w14:solidFill>
          </w14:textFill>
        </w:rPr>
        <w:t>强化公路施工场地扬尘污染治理，</w:t>
      </w:r>
      <w:r>
        <w:rPr>
          <w:rFonts w:cs="仿宋_GB2312"/>
          <w:color w:val="000000" w:themeColor="text1"/>
          <w:szCs w:val="32"/>
          <w14:textFill>
            <w14:solidFill>
              <w14:schemeClr w14:val="tx1"/>
            </w14:solidFill>
          </w14:textFill>
        </w:rPr>
        <w:t>有效降低施工期碳排放与环境影响。</w:t>
      </w:r>
      <w:r>
        <w:rPr>
          <w:rFonts w:hint="eastAsia" w:cs="仿宋_GB2312"/>
          <w:color w:val="000000" w:themeColor="text1"/>
          <w:szCs w:val="32"/>
          <w14:textFill>
            <w14:solidFill>
              <w14:schemeClr w14:val="tx1"/>
            </w14:solidFill>
          </w14:textFill>
        </w:rPr>
        <w:t>推进港口干散货堆场实施半封闭、全封闭升级改造，强化原油、成品油码头油气回收装置安装和使用，推动岸电常态化应用</w:t>
      </w:r>
      <w:r>
        <w:rPr>
          <w:rFonts w:hint="eastAsia" w:cs="Times New Roman"/>
          <w:color w:val="000000" w:themeColor="text1"/>
          <w:szCs w:val="32"/>
          <w14:textFill>
            <w14:solidFill>
              <w14:schemeClr w14:val="tx1"/>
            </w14:solidFill>
          </w14:textFill>
        </w:rPr>
        <w:t>。</w:t>
      </w:r>
      <w:r>
        <w:rPr>
          <w:rFonts w:hint="eastAsia" w:cs="仿宋_GB2312"/>
          <w:color w:val="000000" w:themeColor="text1"/>
          <w:szCs w:val="32"/>
          <w14:textFill>
            <w14:solidFill>
              <w14:schemeClr w14:val="tx1"/>
            </w14:solidFill>
          </w14:textFill>
        </w:rPr>
        <w:t>推进快递包装标准化、循环化、减量化、无害化。强化危险化学品车辆、船舶运输管理及风险防控，提升危化品事故应急处置能力。</w:t>
      </w:r>
    </w:p>
    <w:p>
      <w:pPr>
        <w:spacing w:line="600" w:lineRule="exact"/>
        <w:ind w:firstLine="640"/>
        <w:outlineLvl w:val="0"/>
        <w:rPr>
          <w:rFonts w:hint="eastAsia" w:ascii="黑体" w:hAnsi="黑体" w:cs="黑体"/>
          <w:color w:val="000000" w:themeColor="text1"/>
          <w14:textFill>
            <w14:solidFill>
              <w14:schemeClr w14:val="tx1"/>
            </w14:solidFill>
          </w14:textFill>
        </w:rPr>
      </w:pPr>
      <w:bookmarkStart w:id="184" w:name="_Toc232606960"/>
      <w:r>
        <w:rPr>
          <w:rFonts w:hint="eastAsia" w:ascii="黑体" w:hAnsi="黑体" w:eastAsia="黑体" w:cs="黑体"/>
          <w:color w:val="000000" w:themeColor="text1"/>
          <w:szCs w:val="32"/>
          <w14:textFill>
            <w14:solidFill>
              <w14:schemeClr w14:val="tx1"/>
            </w14:solidFill>
          </w14:textFill>
        </w:rPr>
        <w:t>十、</w:t>
      </w:r>
      <w:bookmarkStart w:id="185" w:name="OLE_LINK119"/>
      <w:r>
        <w:rPr>
          <w:rFonts w:hint="eastAsia" w:ascii="黑体" w:hAnsi="黑体" w:eastAsia="黑体" w:cs="黑体"/>
          <w:color w:val="000000" w:themeColor="text1"/>
          <w:szCs w:val="32"/>
          <w14:textFill>
            <w14:solidFill>
              <w14:schemeClr w14:val="tx1"/>
            </w14:solidFill>
          </w14:textFill>
        </w:rPr>
        <w:t>强化交通运输安全应急保障能力</w:t>
      </w:r>
      <w:bookmarkEnd w:id="184"/>
    </w:p>
    <w:bookmarkEnd w:id="185"/>
    <w:p>
      <w:pPr>
        <w:topLinePunct/>
        <w:spacing w:line="600" w:lineRule="exact"/>
        <w:ind w:firstLine="639" w:firstLineChars="199"/>
        <w:outlineLvl w:val="1"/>
        <w:rPr>
          <w:b/>
          <w:bCs/>
        </w:rPr>
      </w:pPr>
      <w:bookmarkStart w:id="186" w:name="_Toc232606961"/>
      <w:bookmarkStart w:id="187" w:name="_Hlk181100265"/>
      <w:r>
        <w:rPr>
          <w:rFonts w:hint="eastAsia" w:ascii="楷体_GB2312" w:hAnsi="楷体_GB2312" w:eastAsia="楷体_GB2312" w:cs="楷体_GB2312"/>
          <w:b/>
          <w:color w:val="000000" w:themeColor="text1"/>
          <w:szCs w:val="32"/>
          <w14:textFill>
            <w14:solidFill>
              <w14:schemeClr w14:val="tx1"/>
            </w14:solidFill>
          </w14:textFill>
        </w:rPr>
        <w:t>（一）强化战略物资运输保障能力</w:t>
      </w:r>
      <w:bookmarkEnd w:id="186"/>
    </w:p>
    <w:p>
      <w:pPr>
        <w:spacing w:line="600" w:lineRule="exact"/>
        <w:ind w:firstLine="640"/>
        <w:rPr>
          <w:rFonts w:hint="eastAsia" w:ascii="楷体_GB2312" w:hAnsi="楷体_GB2312" w:eastAsia="楷体_GB2312" w:cs="楷体_GB2312"/>
          <w:b/>
          <w:color w:val="000000" w:themeColor="text1"/>
          <w:szCs w:val="32"/>
          <w14:textFill>
            <w14:solidFill>
              <w14:schemeClr w14:val="tx1"/>
            </w14:solidFill>
          </w14:textFill>
        </w:rPr>
      </w:pPr>
      <w:r>
        <w:rPr>
          <w:rFonts w:hint="eastAsia" w:cs="Times New Roman"/>
          <w:color w:val="000000" w:themeColor="text1"/>
          <w:szCs w:val="32"/>
          <w14:textFill>
            <w14:solidFill>
              <w14:schemeClr w14:val="tx1"/>
            </w14:solidFill>
          </w14:textFill>
        </w:rPr>
        <w:t>强化粮食、原油、铁矿石等物资专业化泊位和仓储转运设施建设，加快构建“北粮南运”大通道省级交通运输保障机制和东北三省一区“北粮南运”大通道物流合作机制，在重点时段和急需情况对重点物资运输船舶采取优先进出港、优先引航、优先靠泊和</w:t>
      </w:r>
      <w:r>
        <w:rPr>
          <w:rFonts w:cs="Times New Roman"/>
          <w:color w:val="000000" w:themeColor="text1"/>
          <w:szCs w:val="32"/>
          <w14:textFill>
            <w14:solidFill>
              <w14:schemeClr w14:val="tx1"/>
            </w14:solidFill>
          </w14:textFill>
        </w:rPr>
        <w:t>优先</w:t>
      </w:r>
      <w:r>
        <w:rPr>
          <w:rFonts w:hint="eastAsia" w:cs="Times New Roman"/>
          <w:color w:val="000000" w:themeColor="text1"/>
          <w:szCs w:val="32"/>
          <w14:textFill>
            <w14:solidFill>
              <w14:schemeClr w14:val="tx1"/>
            </w14:solidFill>
          </w14:textFill>
        </w:rPr>
        <w:t>装卸等保障措施。</w:t>
      </w:r>
    </w:p>
    <w:p>
      <w:pPr>
        <w:topLinePunct/>
        <w:spacing w:line="600" w:lineRule="exact"/>
        <w:ind w:firstLine="639" w:firstLineChars="199"/>
        <w:outlineLvl w:val="1"/>
        <w:rPr>
          <w:b/>
          <w:bCs/>
        </w:rPr>
      </w:pPr>
      <w:bookmarkStart w:id="188" w:name="_Toc232606962"/>
      <w:r>
        <w:rPr>
          <w:rFonts w:hint="eastAsia" w:ascii="楷体_GB2312" w:hAnsi="楷体_GB2312" w:eastAsia="楷体_GB2312" w:cs="楷体_GB2312"/>
          <w:b/>
          <w:color w:val="000000" w:themeColor="text1"/>
          <w:szCs w:val="32"/>
          <w14:textFill>
            <w14:solidFill>
              <w14:schemeClr w14:val="tx1"/>
            </w14:solidFill>
          </w14:textFill>
        </w:rPr>
        <w:t>（二）提升基础设施本质安全水平</w:t>
      </w:r>
      <w:bookmarkEnd w:id="188"/>
    </w:p>
    <w:p>
      <w:pPr>
        <w:spacing w:line="600" w:lineRule="exact"/>
        <w:ind w:firstLine="640"/>
        <w:rPr>
          <w:rFonts w:cs="Times New Roman"/>
          <w:color w:val="000000" w:themeColor="text1"/>
          <w:szCs w:val="32"/>
          <w14:textFill>
            <w14:solidFill>
              <w14:schemeClr w14:val="tx1"/>
            </w14:solidFill>
          </w14:textFill>
        </w:rPr>
      </w:pPr>
      <w:r>
        <w:rPr>
          <w:rFonts w:hint="eastAsia" w:cs="Times New Roman"/>
          <w:color w:val="000000" w:themeColor="text1"/>
          <w:szCs w:val="32"/>
          <w14:textFill>
            <w14:solidFill>
              <w14:schemeClr w14:val="tx1"/>
            </w14:solidFill>
          </w14:textFill>
        </w:rPr>
        <w:t>有序推动老旧交通基础设施更新提质，推进饶盖线营口界至石门西安防设施建设等安全韧性提升工程。持续推进公路安全设施精细化提升、干线公路危旧桥（危隧）改造、干线公路灾害防治，深入实施农村公路安全生命防护工程。推进老旧码头升级改造，</w:t>
      </w:r>
      <w:r>
        <w:rPr>
          <w:rFonts w:hint="eastAsia" w:cs="仿宋_GB2312"/>
          <w:color w:val="000000" w:themeColor="text1"/>
          <w:szCs w:val="32"/>
          <w:lang w:bidi="ar"/>
          <w14:textFill>
            <w14:solidFill>
              <w14:schemeClr w14:val="tx1"/>
            </w14:solidFill>
          </w14:textFill>
        </w:rPr>
        <w:t>强化防波堤、锚地等港口航道公共基础设施自然灾害防护和通航安全保障能力</w:t>
      </w:r>
      <w:r>
        <w:rPr>
          <w:rFonts w:hint="eastAsia" w:cs="Times New Roman"/>
          <w:color w:val="000000" w:themeColor="text1"/>
          <w:szCs w:val="32"/>
          <w14:textFill>
            <w14:solidFill>
              <w14:schemeClr w14:val="tx1"/>
            </w14:solidFill>
          </w14:textFill>
        </w:rPr>
        <w:t>。</w:t>
      </w:r>
    </w:p>
    <w:p>
      <w:pPr>
        <w:topLinePunct/>
        <w:spacing w:line="600" w:lineRule="exact"/>
        <w:ind w:firstLine="639" w:firstLineChars="199"/>
        <w:outlineLvl w:val="1"/>
        <w:rPr>
          <w:b/>
          <w:bCs/>
        </w:rPr>
      </w:pPr>
      <w:bookmarkStart w:id="189" w:name="_Toc232606963"/>
      <w:r>
        <w:rPr>
          <w:rFonts w:hint="eastAsia" w:ascii="楷体_GB2312" w:hAnsi="楷体_GB2312" w:eastAsia="楷体_GB2312" w:cs="楷体_GB2312"/>
          <w:b/>
          <w:color w:val="000000" w:themeColor="text1"/>
          <w:szCs w:val="32"/>
          <w14:textFill>
            <w14:solidFill>
              <w14:schemeClr w14:val="tx1"/>
            </w14:solidFill>
          </w14:textFill>
        </w:rPr>
        <w:t>（三）提升交通运输安全监管水平</w:t>
      </w:r>
      <w:bookmarkEnd w:id="189"/>
    </w:p>
    <w:p>
      <w:pPr>
        <w:spacing w:line="600" w:lineRule="exact"/>
        <w:ind w:firstLine="640"/>
        <w:rPr>
          <w:rFonts w:cs="Times New Roman"/>
          <w:color w:val="000000" w:themeColor="text1"/>
          <w:szCs w:val="32"/>
          <w14:textFill>
            <w14:solidFill>
              <w14:schemeClr w14:val="tx1"/>
            </w14:solidFill>
          </w14:textFill>
        </w:rPr>
      </w:pPr>
      <w:r>
        <w:rPr>
          <w:rFonts w:hint="eastAsia"/>
          <w:color w:val="000000" w:themeColor="text1"/>
          <w14:textFill>
            <w14:solidFill>
              <w14:schemeClr w14:val="tx1"/>
            </w14:solidFill>
          </w14:textFill>
        </w:rPr>
        <w:t>健全安全生产责任制度，</w:t>
      </w:r>
      <w:r>
        <w:rPr>
          <w:rFonts w:hint="eastAsia" w:cs="仿宋_GB2312"/>
          <w:color w:val="000000" w:themeColor="text1"/>
          <w:szCs w:val="32"/>
          <w:lang w:bidi="ar"/>
          <w14:textFill>
            <w14:solidFill>
              <w14:schemeClr w14:val="tx1"/>
            </w14:solidFill>
          </w14:textFill>
        </w:rPr>
        <w:t>强化企业安全生产分类分级监管</w:t>
      </w:r>
      <w:r>
        <w:rPr>
          <w:rFonts w:hint="eastAsia"/>
          <w:color w:val="000000" w:themeColor="text1"/>
          <w14:textFill>
            <w14:solidFill>
              <w14:schemeClr w14:val="tx1"/>
            </w14:solidFill>
          </w14:textFill>
        </w:rPr>
        <w:t>。聚焦道路运输、城市客运、港口航道等重点领域，突出“两客一危”、重型货车、港口罐区等重点对象，持续开展专项整治，</w:t>
      </w:r>
      <w:r>
        <w:rPr>
          <w:rFonts w:hint="eastAsia" w:cs="仿宋_GB2312"/>
          <w:color w:val="000000" w:themeColor="text1"/>
          <w:szCs w:val="32"/>
          <w:lang w:bidi="ar"/>
          <w14:textFill>
            <w14:solidFill>
              <w14:schemeClr w14:val="tx1"/>
            </w14:solidFill>
          </w14:textFill>
        </w:rPr>
        <w:t>加强重点时段安全监管</w:t>
      </w:r>
      <w:r>
        <w:rPr>
          <w:rFonts w:hint="eastAsia"/>
          <w:color w:val="000000" w:themeColor="text1"/>
          <w14:textFill>
            <w14:solidFill>
              <w14:schemeClr w14:val="tx1"/>
            </w14:solidFill>
          </w14:textFill>
        </w:rPr>
        <w:t>。</w:t>
      </w:r>
      <w:r>
        <w:rPr>
          <w:rFonts w:hint="eastAsia" w:cs="仿宋_GB2312"/>
          <w:color w:val="000000" w:themeColor="text1"/>
          <w:szCs w:val="32"/>
          <w:lang w:bidi="ar"/>
          <w14:textFill>
            <w14:solidFill>
              <w14:schemeClr w14:val="tx1"/>
            </w14:solidFill>
          </w14:textFill>
        </w:rPr>
        <w:t>推动“两客一危”和重型货车安装使用智能视频监控报警装置，严格落实危险货物道路运输电子运单制度，加强港口作业重大风险智能监测。</w:t>
      </w:r>
    </w:p>
    <w:p>
      <w:pPr>
        <w:topLinePunct/>
        <w:spacing w:line="600" w:lineRule="exact"/>
        <w:ind w:firstLine="639" w:firstLineChars="199"/>
        <w:outlineLvl w:val="1"/>
        <w:rPr>
          <w:b/>
          <w:bCs/>
        </w:rPr>
      </w:pPr>
      <w:bookmarkStart w:id="190" w:name="_Toc232606964"/>
      <w:r>
        <w:rPr>
          <w:rFonts w:hint="eastAsia" w:ascii="楷体_GB2312" w:hAnsi="楷体_GB2312" w:eastAsia="楷体_GB2312" w:cs="楷体_GB2312"/>
          <w:b/>
          <w:color w:val="000000" w:themeColor="text1"/>
          <w:szCs w:val="32"/>
          <w14:textFill>
            <w14:solidFill>
              <w14:schemeClr w14:val="tx1"/>
            </w14:solidFill>
          </w14:textFill>
        </w:rPr>
        <w:t>（四）强化交通安全应急能力建设</w:t>
      </w:r>
      <w:bookmarkEnd w:id="190"/>
    </w:p>
    <w:p>
      <w:pPr>
        <w:spacing w:line="600" w:lineRule="exact"/>
        <w:ind w:firstLine="640"/>
        <w:rPr>
          <w:color w:val="000000" w:themeColor="text1"/>
          <w14:textFill>
            <w14:solidFill>
              <w14:schemeClr w14:val="tx1"/>
            </w14:solidFill>
          </w14:textFill>
        </w:rPr>
      </w:pPr>
      <w:r>
        <w:rPr>
          <w:rFonts w:hint="eastAsia"/>
          <w:color w:val="000000" w:themeColor="text1"/>
          <w14:textFill>
            <w14:solidFill>
              <w14:schemeClr w14:val="tx1"/>
            </w14:solidFill>
          </w14:textFill>
        </w:rPr>
        <w:t>建立健全交通运输突发事件应急处置跨区域、跨部门、多种运输方式协同机制，完善重大灾害、防疫、安全等突发事件交通应急预案体系。</w:t>
      </w:r>
      <w:bookmarkStart w:id="191" w:name="OLE_LINK239"/>
      <w:r>
        <w:rPr>
          <w:rFonts w:hint="eastAsia"/>
          <w:color w:val="000000" w:themeColor="text1"/>
          <w14:textFill>
            <w14:solidFill>
              <w14:schemeClr w14:val="tx1"/>
            </w14:solidFill>
          </w14:textFill>
        </w:rPr>
        <w:t>提升水上交通安全监管与应急救助能力，打造营口海上船舶监管基地，推动海上安全综合治理联管中心整合改造。</w:t>
      </w:r>
      <w:bookmarkEnd w:id="191"/>
      <w:r>
        <w:rPr>
          <w:rFonts w:hint="eastAsia"/>
          <w:color w:val="000000" w:themeColor="text1"/>
          <w14:textFill>
            <w14:solidFill>
              <w14:schemeClr w14:val="tx1"/>
            </w14:solidFill>
          </w14:textFill>
        </w:rPr>
        <w:t>加快市、县级公路交通应急装备储备中心（库）建设。</w:t>
      </w:r>
    </w:p>
    <w:bookmarkEnd w:id="187"/>
    <w:p>
      <w:pPr>
        <w:spacing w:line="600" w:lineRule="exact"/>
        <w:ind w:firstLine="640"/>
        <w:outlineLvl w:val="0"/>
        <w:rPr>
          <w:color w:val="000000" w:themeColor="text1"/>
          <w14:textFill>
            <w14:solidFill>
              <w14:schemeClr w14:val="tx1"/>
            </w14:solidFill>
          </w14:textFill>
        </w:rPr>
      </w:pPr>
      <w:bookmarkStart w:id="192" w:name="_Toc30307"/>
      <w:bookmarkStart w:id="193" w:name="_Toc7565"/>
      <w:bookmarkStart w:id="194" w:name="_Toc232606965"/>
      <w:bookmarkStart w:id="195" w:name="OLE_LINK237"/>
      <w:r>
        <w:rPr>
          <w:rFonts w:hint="eastAsia" w:ascii="黑体" w:hAnsi="黑体" w:eastAsia="黑体" w:cs="黑体"/>
          <w:color w:val="000000" w:themeColor="text1"/>
          <w:szCs w:val="32"/>
          <w14:textFill>
            <w14:solidFill>
              <w14:schemeClr w14:val="tx1"/>
            </w14:solidFill>
          </w14:textFill>
        </w:rPr>
        <w:t>十一、</w:t>
      </w:r>
      <w:bookmarkEnd w:id="192"/>
      <w:bookmarkEnd w:id="193"/>
      <w:bookmarkStart w:id="196" w:name="OLE_LINK120"/>
      <w:r>
        <w:rPr>
          <w:rFonts w:hint="eastAsia" w:ascii="黑体" w:hAnsi="黑体" w:eastAsia="黑体" w:cs="黑体"/>
          <w:color w:val="000000" w:themeColor="text1"/>
          <w:szCs w:val="32"/>
          <w14:textFill>
            <w14:solidFill>
              <w14:schemeClr w14:val="tx1"/>
            </w14:solidFill>
          </w14:textFill>
        </w:rPr>
        <w:t>完善交通运输现代化治理体系</w:t>
      </w:r>
      <w:bookmarkEnd w:id="194"/>
    </w:p>
    <w:bookmarkEnd w:id="195"/>
    <w:bookmarkEnd w:id="196"/>
    <w:p>
      <w:pPr>
        <w:topLinePunct/>
        <w:spacing w:line="600" w:lineRule="exact"/>
        <w:ind w:firstLine="639" w:firstLineChars="199"/>
        <w:outlineLvl w:val="1"/>
        <w:rPr>
          <w:b/>
          <w:bCs/>
        </w:rPr>
      </w:pPr>
      <w:bookmarkStart w:id="197" w:name="_Toc232606966"/>
      <w:bookmarkStart w:id="198" w:name="_Toc7769"/>
      <w:r>
        <w:rPr>
          <w:rFonts w:hint="eastAsia" w:ascii="楷体_GB2312" w:hAnsi="楷体_GB2312" w:eastAsia="楷体_GB2312" w:cs="楷体_GB2312"/>
          <w:b/>
          <w:color w:val="000000" w:themeColor="text1"/>
          <w:szCs w:val="32"/>
          <w14:textFill>
            <w14:solidFill>
              <w14:schemeClr w14:val="tx1"/>
            </w14:solidFill>
          </w14:textFill>
        </w:rPr>
        <w:t>（一）深化重点领域改革</w:t>
      </w:r>
      <w:bookmarkEnd w:id="197"/>
    </w:p>
    <w:p>
      <w:pPr>
        <w:spacing w:line="600" w:lineRule="exact"/>
        <w:ind w:firstLine="640"/>
        <w:rPr>
          <w:rFonts w:cs="Times New Roman"/>
          <w:color w:val="000000" w:themeColor="text1"/>
          <w:szCs w:val="32"/>
          <w14:textFill>
            <w14:solidFill>
              <w14:schemeClr w14:val="tx1"/>
            </w14:solidFill>
          </w14:textFill>
        </w:rPr>
      </w:pPr>
      <w:r>
        <w:rPr>
          <w:rFonts w:hint="eastAsia" w:cs="Times New Roman"/>
          <w:szCs w:val="32"/>
        </w:rPr>
        <w:t>完善综合交通运输管理机制，统筹推动铁路、公路、水路、民航、邮政等行业发展。</w:t>
      </w:r>
      <w:r>
        <w:rPr>
          <w:rFonts w:hint="eastAsia" w:cs="Times New Roman"/>
          <w:color w:val="000000" w:themeColor="text1"/>
          <w:szCs w:val="32"/>
          <w14:textFill>
            <w14:solidFill>
              <w14:schemeClr w14:val="tx1"/>
            </w14:solidFill>
          </w14:textFill>
        </w:rPr>
        <w:t>深化交通投融资改革，</w:t>
      </w:r>
      <w:r>
        <w:rPr>
          <w:rFonts w:cs="Times New Roman"/>
          <w:color w:val="000000" w:themeColor="text1"/>
          <w:szCs w:val="32"/>
          <w14:textFill>
            <w14:solidFill>
              <w14:schemeClr w14:val="tx1"/>
            </w14:solidFill>
          </w14:textFill>
        </w:rPr>
        <w:t>鼓励交通设施沿线资源及经营服务设施综合开发</w:t>
      </w:r>
      <w:r>
        <w:rPr>
          <w:rFonts w:hint="eastAsia" w:cs="Times New Roman"/>
          <w:color w:val="000000" w:themeColor="text1"/>
          <w:szCs w:val="32"/>
          <w14:textFill>
            <w14:solidFill>
              <w14:schemeClr w14:val="tx1"/>
            </w14:solidFill>
          </w14:textFill>
        </w:rPr>
        <w:t>，研究拓展地方铁路、普通公路、通用机场等投融资渠道，</w:t>
      </w:r>
      <w:r>
        <w:rPr>
          <w:rFonts w:cs="Times New Roman"/>
          <w:color w:val="000000" w:themeColor="text1"/>
          <w:szCs w:val="32"/>
          <w14:textFill>
            <w14:solidFill>
              <w14:schemeClr w14:val="tx1"/>
            </w14:solidFill>
          </w14:textFill>
        </w:rPr>
        <w:t>鼓励各类金融机构、社会资本依法依规参与交通基础设施建设融资。</w:t>
      </w:r>
      <w:r>
        <w:rPr>
          <w:rFonts w:hint="eastAsia" w:cs="Times New Roman"/>
          <w:color w:val="000000" w:themeColor="text1"/>
          <w:szCs w:val="32"/>
          <w14:textFill>
            <w14:solidFill>
              <w14:schemeClr w14:val="tx1"/>
            </w14:solidFill>
          </w14:textFill>
        </w:rPr>
        <w:t>完善行业统计监测体系，优化普通国省道交通调查监测点布局。</w:t>
      </w:r>
    </w:p>
    <w:p>
      <w:pPr>
        <w:topLinePunct/>
        <w:spacing w:line="600" w:lineRule="exact"/>
        <w:ind w:firstLine="639" w:firstLineChars="199"/>
        <w:outlineLvl w:val="1"/>
        <w:rPr>
          <w:b/>
          <w:bCs/>
        </w:rPr>
      </w:pPr>
      <w:bookmarkStart w:id="199" w:name="_Toc232606967"/>
      <w:r>
        <w:rPr>
          <w:rFonts w:hint="eastAsia" w:ascii="楷体_GB2312" w:hAnsi="楷体_GB2312" w:eastAsia="楷体_GB2312" w:cs="楷体_GB2312"/>
          <w:b/>
          <w:color w:val="000000" w:themeColor="text1"/>
          <w:szCs w:val="32"/>
          <w14:textFill>
            <w14:solidFill>
              <w14:schemeClr w14:val="tx1"/>
            </w14:solidFill>
          </w14:textFill>
        </w:rPr>
        <w:t>（二）持续优化营商环境</w:t>
      </w:r>
      <w:bookmarkEnd w:id="199"/>
    </w:p>
    <w:p>
      <w:pPr>
        <w:spacing w:line="600" w:lineRule="exact"/>
        <w:ind w:firstLine="640"/>
        <w:rPr>
          <w:rFonts w:cs="Times New Roman"/>
          <w:color w:val="000000" w:themeColor="text1"/>
          <w:szCs w:val="32"/>
          <w14:textFill>
            <w14:solidFill>
              <w14:schemeClr w14:val="tx1"/>
            </w14:solidFill>
          </w14:textFill>
        </w:rPr>
      </w:pPr>
      <w:r>
        <w:rPr>
          <w:rFonts w:hint="eastAsia" w:cs="Times New Roman"/>
          <w:szCs w:val="32"/>
        </w:rPr>
        <w:t>持续深化“放管服”改革，</w:t>
      </w:r>
      <w:r>
        <w:rPr>
          <w:rFonts w:hint="eastAsia" w:cs="仿宋_GB2312"/>
          <w:color w:val="000000" w:themeColor="text1"/>
          <w:szCs w:val="32"/>
          <w14:textFill>
            <w14:solidFill>
              <w14:schemeClr w14:val="tx1"/>
            </w14:solidFill>
          </w14:textFill>
        </w:rPr>
        <w:t>全面落实市场准入和退出机制，持续清理、废除妨碍统一市场和公平竞争的规定和做法，</w:t>
      </w:r>
      <w:r>
        <w:rPr>
          <w:rFonts w:cs="仿宋_GB2312"/>
          <w:color w:val="000000" w:themeColor="text1"/>
          <w:szCs w:val="32"/>
          <w14:textFill>
            <w14:solidFill>
              <w14:schemeClr w14:val="tx1"/>
            </w14:solidFill>
          </w14:textFill>
        </w:rPr>
        <w:t>依法平等对待各类经营主体</w:t>
      </w:r>
      <w:r>
        <w:rPr>
          <w:rFonts w:hint="eastAsia" w:cs="仿宋_GB2312"/>
          <w:color w:val="000000" w:themeColor="text1"/>
          <w:szCs w:val="32"/>
          <w14:textFill>
            <w14:solidFill>
              <w14:schemeClr w14:val="tx1"/>
            </w14:solidFill>
          </w14:textFill>
        </w:rPr>
        <w:t>。依托企业座谈会、政务公开信息等，建立和畅通常态化政企沟通渠道。巩固港口降费成效，建立健全公开、透明的价格体系。</w:t>
      </w:r>
      <w:r>
        <w:rPr>
          <w:rFonts w:cs="Times New Roman"/>
          <w:szCs w:val="32"/>
        </w:rPr>
        <w:t>建立健全交通运输行政许可事项实施规范和办事指南，完善电子证照标准体系</w:t>
      </w:r>
      <w:r>
        <w:rPr>
          <w:rFonts w:hint="eastAsia" w:cs="Times New Roman"/>
          <w:szCs w:val="32"/>
        </w:rPr>
        <w:t>。</w:t>
      </w:r>
    </w:p>
    <w:p>
      <w:pPr>
        <w:topLinePunct/>
        <w:spacing w:line="600" w:lineRule="exact"/>
        <w:ind w:firstLine="639" w:firstLineChars="199"/>
        <w:outlineLvl w:val="1"/>
        <w:rPr>
          <w:b/>
          <w:bCs/>
        </w:rPr>
      </w:pPr>
      <w:bookmarkStart w:id="200" w:name="_Toc232606968"/>
      <w:r>
        <w:rPr>
          <w:rFonts w:hint="eastAsia" w:ascii="楷体_GB2312" w:hAnsi="楷体_GB2312" w:eastAsia="楷体_GB2312" w:cs="楷体_GB2312"/>
          <w:b/>
          <w:color w:val="000000" w:themeColor="text1"/>
          <w:szCs w:val="32"/>
          <w14:textFill>
            <w14:solidFill>
              <w14:schemeClr w14:val="tx1"/>
            </w14:solidFill>
          </w14:textFill>
        </w:rPr>
        <w:t>（三）</w:t>
      </w:r>
      <w:bookmarkEnd w:id="198"/>
      <w:r>
        <w:rPr>
          <w:rFonts w:hint="eastAsia" w:ascii="楷体_GB2312" w:hAnsi="楷体_GB2312" w:eastAsia="楷体_GB2312" w:cs="楷体_GB2312"/>
          <w:b/>
          <w:color w:val="000000" w:themeColor="text1"/>
          <w:szCs w:val="32"/>
          <w14:textFill>
            <w14:solidFill>
              <w14:schemeClr w14:val="tx1"/>
            </w14:solidFill>
          </w14:textFill>
        </w:rPr>
        <w:t>完善市场监管机制</w:t>
      </w:r>
      <w:bookmarkEnd w:id="200"/>
    </w:p>
    <w:p>
      <w:pPr>
        <w:spacing w:line="600" w:lineRule="exact"/>
        <w:ind w:firstLine="640"/>
        <w:rPr>
          <w:rFonts w:cs="Times New Roman"/>
          <w:color w:val="000000" w:themeColor="text1"/>
          <w:szCs w:val="32"/>
          <w14:textFill>
            <w14:solidFill>
              <w14:schemeClr w14:val="tx1"/>
            </w14:solidFill>
          </w14:textFill>
        </w:rPr>
      </w:pPr>
      <w:r>
        <w:rPr>
          <w:rFonts w:hint="eastAsia" w:cs="Times New Roman"/>
          <w:color w:val="000000" w:themeColor="text1"/>
          <w:szCs w:val="32"/>
          <w14:textFill>
            <w14:solidFill>
              <w14:schemeClr w14:val="tx1"/>
            </w14:solidFill>
          </w14:textFill>
        </w:rPr>
        <w:t>深化交通运输综合行政执法改革，</w:t>
      </w:r>
      <w:r>
        <w:rPr>
          <w:rFonts w:hint="eastAsia" w:cs="仿宋_GB2312"/>
          <w:color w:val="000000" w:themeColor="text1"/>
          <w:szCs w:val="32"/>
          <w14:textFill>
            <w14:solidFill>
              <w14:schemeClr w14:val="tx1"/>
            </w14:solidFill>
          </w14:textFill>
        </w:rPr>
        <w:t>加快推进“四基四化”建设进程，</w:t>
      </w:r>
      <w:r>
        <w:rPr>
          <w:rFonts w:hint="eastAsia" w:cs="Times New Roman"/>
          <w:color w:val="000000" w:themeColor="text1"/>
          <w:szCs w:val="32"/>
          <w14:textFill>
            <w14:solidFill>
              <w14:schemeClr w14:val="tx1"/>
            </w14:solidFill>
          </w14:textFill>
        </w:rPr>
        <w:t>加强执法队伍专业化建设，</w:t>
      </w:r>
      <w:r>
        <w:rPr>
          <w:rFonts w:cs="Times New Roman"/>
          <w:color w:val="000000" w:themeColor="text1"/>
          <w:szCs w:val="32"/>
          <w14:textFill>
            <w14:solidFill>
              <w14:schemeClr w14:val="tx1"/>
            </w14:solidFill>
          </w14:textFill>
        </w:rPr>
        <w:t>持续开展交通运输、公安部门治理货运车辆超限超载联合执法</w:t>
      </w:r>
      <w:r>
        <w:rPr>
          <w:rFonts w:hint="eastAsia" w:cs="Times New Roman"/>
          <w:color w:val="000000" w:themeColor="text1"/>
          <w:szCs w:val="32"/>
          <w14:textFill>
            <w14:solidFill>
              <w14:schemeClr w14:val="tx1"/>
            </w14:solidFill>
          </w14:textFill>
        </w:rPr>
        <w:t>，推进数智化执法手段应用。推进行业管理数字化改革，</w:t>
      </w:r>
      <w:r>
        <w:rPr>
          <w:rFonts w:cs="Times New Roman"/>
          <w:color w:val="000000" w:themeColor="text1"/>
          <w:szCs w:val="32"/>
          <w14:textFill>
            <w14:solidFill>
              <w14:schemeClr w14:val="tx1"/>
            </w14:solidFill>
          </w14:textFill>
        </w:rPr>
        <w:t>提升智慧监管水平</w:t>
      </w:r>
      <w:r>
        <w:rPr>
          <w:rFonts w:hint="eastAsia" w:cs="Times New Roman"/>
          <w:color w:val="000000" w:themeColor="text1"/>
          <w:szCs w:val="32"/>
          <w14:textFill>
            <w14:solidFill>
              <w14:schemeClr w14:val="tx1"/>
            </w14:solidFill>
          </w14:textFill>
        </w:rPr>
        <w:t>。</w:t>
      </w:r>
      <w:r>
        <w:rPr>
          <w:rFonts w:cs="Times New Roman"/>
          <w:color w:val="000000" w:themeColor="text1"/>
          <w:szCs w:val="32"/>
          <w14:textFill>
            <w14:solidFill>
              <w14:schemeClr w14:val="tx1"/>
            </w14:solidFill>
          </w14:textFill>
        </w:rPr>
        <w:t>加强交通运输领域消费者权益保护，依法保障货车、船舶、出租汽车、公交车等司乘人员和快递员等群体合法权益</w:t>
      </w:r>
      <w:r>
        <w:rPr>
          <w:rFonts w:hint="eastAsia" w:cs="Times New Roman"/>
          <w:color w:val="000000" w:themeColor="text1"/>
          <w:szCs w:val="32"/>
          <w14:textFill>
            <w14:solidFill>
              <w14:schemeClr w14:val="tx1"/>
            </w14:solidFill>
          </w14:textFill>
        </w:rPr>
        <w:t>，优化“司机之家”建设布局。</w:t>
      </w:r>
    </w:p>
    <w:p>
      <w:pPr>
        <w:spacing w:line="600" w:lineRule="exact"/>
        <w:ind w:firstLine="640"/>
        <w:outlineLvl w:val="0"/>
        <w:rPr>
          <w:color w:val="000000" w:themeColor="text1"/>
          <w14:textFill>
            <w14:solidFill>
              <w14:schemeClr w14:val="tx1"/>
            </w14:solidFill>
          </w14:textFill>
        </w:rPr>
      </w:pPr>
      <w:bookmarkStart w:id="201" w:name="_Toc232606970"/>
      <w:r>
        <w:rPr>
          <w:rFonts w:hint="eastAsia" w:ascii="黑体" w:hAnsi="黑体" w:eastAsia="黑体" w:cs="黑体"/>
          <w:color w:val="000000" w:themeColor="text1"/>
          <w:szCs w:val="32"/>
          <w14:textFill>
            <w14:solidFill>
              <w14:schemeClr w14:val="tx1"/>
            </w14:solidFill>
          </w14:textFill>
        </w:rPr>
        <w:t>十二、加强规划实施保障</w:t>
      </w:r>
      <w:bookmarkEnd w:id="201"/>
    </w:p>
    <w:p>
      <w:pPr>
        <w:spacing w:line="600" w:lineRule="exact"/>
        <w:ind w:firstLine="640"/>
        <w:rPr>
          <w:rFonts w:cs="微软雅黑"/>
          <w:bCs/>
          <w:color w:val="000000" w:themeColor="text1"/>
          <w:szCs w:val="32"/>
          <w14:textFill>
            <w14:solidFill>
              <w14:schemeClr w14:val="tx1"/>
            </w14:solidFill>
          </w14:textFill>
        </w:rPr>
      </w:pPr>
      <w:r>
        <w:rPr>
          <w:rFonts w:hint="eastAsia" w:cs="Times New Roman"/>
          <w:color w:val="000000" w:themeColor="text1"/>
          <w:szCs w:val="32"/>
          <w14:textFill>
            <w14:solidFill>
              <w14:schemeClr w14:val="tx1"/>
            </w14:solidFill>
          </w14:textFill>
        </w:rPr>
        <w:t>坚持党的全面领导，认真贯彻落实党中央、国务院，省委、省政府及市委、市政府决策部署，加强党对交通运输发展各领域、各方面、各环节的领导。加强省市间、部门间沟通协调，做好与经济社会、国土空间、生态环境等规划的协调衔接。加强规划实施动态监测分析，做好中期评估、总结评估。加强资金政策保障，做好“两重”“两新”项目申请和储备，提升资金保障能力。</w:t>
      </w:r>
      <w:r>
        <w:rPr>
          <w:rFonts w:cs="Times New Roman"/>
          <w:color w:val="000000" w:themeColor="text1"/>
          <w:szCs w:val="32"/>
          <w14:textFill>
            <w14:solidFill>
              <w14:schemeClr w14:val="tx1"/>
            </w14:solidFill>
          </w14:textFill>
        </w:rPr>
        <w:t>促进交通运输与国土、产业、城镇化、投资、环保等政策协同，加强重大项目建设用地用海要素保障，扎实推进一批体现国家战略意图、保障国家重大安全、符合人民关切的重大工程实施。</w:t>
      </w:r>
    </w:p>
    <w:sectPr>
      <w:pgSz w:w="11906" w:h="16838"/>
      <w:pgMar w:top="1440" w:right="1800" w:bottom="1440" w:left="1800" w:header="851" w:footer="850" w:gutter="0"/>
      <w:pgNumType w:start="1"/>
      <w:cols w:space="425" w:num="1"/>
      <w:titlePg/>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Calibri Light">
    <w:altName w:val="DejaVu Sans"/>
    <w:panose1 w:val="020F0302020204030204"/>
    <w:charset w:val="00"/>
    <w:family w:val="swiss"/>
    <w:pitch w:val="default"/>
    <w:sig w:usb0="00000000" w:usb1="00000000" w:usb2="00000009" w:usb3="00000000" w:csb0="000001FF"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altName w:val="黑体"/>
    <w:panose1 w:val="020B0503020204020204"/>
    <w:charset w:val="86"/>
    <w:family w:val="swiss"/>
    <w:pitch w:val="default"/>
    <w:sig w:usb0="00000000" w:usb1="0000000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楷体">
    <w:panose1 w:val="02010609060101010101"/>
    <w:charset w:val="86"/>
    <w:family w:val="auto"/>
    <w:pitch w:val="default"/>
    <w:sig w:usb0="800002BF" w:usb1="38CF7CFA" w:usb2="00000016" w:usb3="00000000" w:csb0="00040001" w:csb1="00000000"/>
  </w:font>
  <w:font w:name="Liberation Serif">
    <w:panose1 w:val="02020603050405020304"/>
    <w:charset w:val="00"/>
    <w:family w:val="auto"/>
    <w:pitch w:val="default"/>
    <w:sig w:usb0="A00002AF" w:usb1="500078FB" w:usb2="00000000" w:usb3="00000000" w:csb0="6000009F" w:csb1="DFD70000"/>
  </w:font>
  <w:font w:name="Arial">
    <w:altName w:val="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spacing w:line="240" w:lineRule="auto"/>
      <w:ind w:firstLine="0" w:firstLineChars="0"/>
      <w:jc w:val="center"/>
      <w:rPr>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73695535" name="文本框 157369553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ind w:firstLine="640"/>
                          </w:pP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CP4IKVHgIAACsEAAAOAAAAAAAAAAEAIAAAADUBAABkcnMvZTJvRG9jLnhtbFBL&#10;BQYAAAAABgAGAFkBAADFBQAAAAA=&#10;">
              <v:fill on="f" focussize="0,0"/>
              <v:stroke on="f" weight="0.5pt"/>
              <v:imagedata o:title=""/>
              <o:lock v:ext="edit" aspectratio="f"/>
              <v:textbox inset="0mm,0mm,0mm,0mm" style="mso-fit-shape-to-text:t;">
                <w:txbxContent>
                  <w:p>
                    <w:pPr>
                      <w:ind w:firstLine="640"/>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spacing w:line="240" w:lineRule="auto"/>
      <w:ind w:firstLine="0" w:firstLineChars="0"/>
      <w:jc w:val="center"/>
      <w:rPr>
        <w:sz w:val="24"/>
        <w:szCs w:val="24"/>
      </w:rPr>
    </w:pPr>
    <w:r>
      <w:rPr>
        <w:sz w:val="24"/>
      </w:rPr>
      <mc:AlternateContent>
        <mc:Choice Requires="wps">
          <w:drawing>
            <wp:anchor distT="0" distB="0" distL="114300" distR="114300" simplePos="0" relativeHeight="2516561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rPr>
                              <w:sz w:val="24"/>
                              <w:szCs w:val="24"/>
                            </w:rPr>
                            <w:id w:val="147471185"/>
                          </w:sdtPr>
                          <w:sdtEndPr>
                            <w:rPr>
                              <w:sz w:val="24"/>
                              <w:szCs w:val="24"/>
                            </w:rPr>
                          </w:sdtEndPr>
                          <w:sdtContent>
                            <w:p>
                              <w:pPr>
                                <w:pStyle w:val="13"/>
                                <w:spacing w:line="240" w:lineRule="auto"/>
                                <w:ind w:firstLine="0" w:firstLineChars="0"/>
                                <w:jc w:val="center"/>
                                <w:rPr>
                                  <w:sz w:val="24"/>
                                  <w:szCs w:val="24"/>
                                </w:rPr>
                              </w:pPr>
                              <w:r>
                                <w:rPr>
                                  <w:sz w:val="24"/>
                                  <w:szCs w:val="24"/>
                                </w:rPr>
                                <w:fldChar w:fldCharType="begin"/>
                              </w:r>
                              <w:r>
                                <w:rPr>
                                  <w:sz w:val="24"/>
                                  <w:szCs w:val="24"/>
                                </w:rPr>
                                <w:instrText xml:space="preserve">PAGE   \* MERGEFORMAT</w:instrText>
                              </w:r>
                              <w:r>
                                <w:rPr>
                                  <w:sz w:val="24"/>
                                  <w:szCs w:val="24"/>
                                </w:rPr>
                                <w:fldChar w:fldCharType="separate"/>
                              </w:r>
                              <w:r>
                                <w:rPr>
                                  <w:sz w:val="24"/>
                                  <w:szCs w:val="24"/>
                                  <w:lang w:val="zh-CN"/>
                                </w:rPr>
                                <w:t>3</w:t>
                              </w:r>
                              <w:r>
                                <w:rPr>
                                  <w:sz w:val="24"/>
                                  <w:szCs w:val="24"/>
                                </w:rPr>
                                <w:fldChar w:fldCharType="end"/>
                              </w:r>
                            </w:p>
                          </w:sdtContent>
                        </w:sdt>
                        <w:p>
                          <w:pPr>
                            <w:ind w:firstLine="480"/>
                            <w:rPr>
                              <w:sz w:val="24"/>
                              <w:szCs w:val="24"/>
                            </w:rPr>
                          </w:pP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619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455fBEwIAABk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CzSVju&#10;0AAAAAUBAAAPAAAAAAAAAAEAIAAAADgAAABkcnMvZG93bnJldi54bWxQSwECFAAUAAAACACHTuJA&#10;OOeXwRMCAAAZBAAADgAAAAAAAAABACAAAAA1AQAAZHJzL2Uyb0RvYy54bWxQSwUGAAAAAAYABgBZ&#10;AQAAugUAAAAA&#10;">
              <v:fill on="f" focussize="0,0"/>
              <v:stroke on="f" weight="0.5pt"/>
              <v:imagedata o:title=""/>
              <o:lock v:ext="edit" aspectratio="f"/>
              <v:textbox inset="0mm,0mm,0mm,0mm" style="mso-fit-shape-to-text:t;">
                <w:txbxContent>
                  <w:sdt>
                    <w:sdtPr>
                      <w:rPr>
                        <w:sz w:val="24"/>
                        <w:szCs w:val="24"/>
                      </w:rPr>
                      <w:id w:val="147471185"/>
                    </w:sdtPr>
                    <w:sdtEndPr>
                      <w:rPr>
                        <w:sz w:val="24"/>
                        <w:szCs w:val="24"/>
                      </w:rPr>
                    </w:sdtEndPr>
                    <w:sdtContent>
                      <w:p>
                        <w:pPr>
                          <w:pStyle w:val="13"/>
                          <w:spacing w:line="240" w:lineRule="auto"/>
                          <w:ind w:firstLine="0" w:firstLineChars="0"/>
                          <w:jc w:val="center"/>
                          <w:rPr>
                            <w:sz w:val="24"/>
                            <w:szCs w:val="24"/>
                          </w:rPr>
                        </w:pPr>
                        <w:r>
                          <w:rPr>
                            <w:sz w:val="24"/>
                            <w:szCs w:val="24"/>
                          </w:rPr>
                          <w:fldChar w:fldCharType="begin"/>
                        </w:r>
                        <w:r>
                          <w:rPr>
                            <w:sz w:val="24"/>
                            <w:szCs w:val="24"/>
                          </w:rPr>
                          <w:instrText xml:space="preserve">PAGE   \* MERGEFORMAT</w:instrText>
                        </w:r>
                        <w:r>
                          <w:rPr>
                            <w:sz w:val="24"/>
                            <w:szCs w:val="24"/>
                          </w:rPr>
                          <w:fldChar w:fldCharType="separate"/>
                        </w:r>
                        <w:r>
                          <w:rPr>
                            <w:sz w:val="24"/>
                            <w:szCs w:val="24"/>
                            <w:lang w:val="zh-CN"/>
                          </w:rPr>
                          <w:t>3</w:t>
                        </w:r>
                        <w:r>
                          <w:rPr>
                            <w:sz w:val="24"/>
                            <w:szCs w:val="24"/>
                          </w:rPr>
                          <w:fldChar w:fldCharType="end"/>
                        </w:r>
                      </w:p>
                    </w:sdtContent>
                  </w:sdt>
                  <w:p>
                    <w:pPr>
                      <w:ind w:firstLine="480"/>
                      <w:rPr>
                        <w:sz w:val="24"/>
                        <w:szCs w:val="24"/>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0" w:firstLineChars="0"/>
    </w:pPr>
    <w:r>
      <mc:AlternateContent>
        <mc:Choice Requires="wps">
          <w:drawing>
            <wp:anchor distT="0" distB="0" distL="114300" distR="114300" simplePos="0" relativeHeight="25165721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spacing w:line="240" w:lineRule="auto"/>
                            <w:ind w:firstLine="0" w:firstLineChars="0"/>
                            <w:rPr>
                              <w:sz w:val="24"/>
                              <w:szCs w:val="36"/>
                            </w:rPr>
                          </w:pPr>
                          <w:r>
                            <w:rPr>
                              <w:sz w:val="24"/>
                              <w:szCs w:val="36"/>
                            </w:rPr>
                            <w:fldChar w:fldCharType="begin"/>
                          </w:r>
                          <w:r>
                            <w:rPr>
                              <w:sz w:val="24"/>
                              <w:szCs w:val="36"/>
                            </w:rPr>
                            <w:instrText xml:space="preserve"> PAGE  \* MERGEFORMAT </w:instrText>
                          </w:r>
                          <w:r>
                            <w:rPr>
                              <w:sz w:val="24"/>
                              <w:szCs w:val="36"/>
                            </w:rPr>
                            <w:fldChar w:fldCharType="separate"/>
                          </w:r>
                          <w:r>
                            <w:rPr>
                              <w:sz w:val="24"/>
                              <w:szCs w:val="36"/>
                            </w:rPr>
                            <w:t>1</w:t>
                          </w:r>
                          <w:r>
                            <w:rPr>
                              <w:sz w:val="24"/>
                              <w:szCs w:val="36"/>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721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CgF26zFQIAABkEAAAOAAAAAAAAAAEAIAAAADUBAABkcnMvZTJvRG9jLnhtbFBLBQYAAAAABgAG&#10;AFkBAAC8BQAAAAA=&#10;">
              <v:fill on="f" focussize="0,0"/>
              <v:stroke on="f" weight="0.5pt"/>
              <v:imagedata o:title=""/>
              <o:lock v:ext="edit" aspectratio="f"/>
              <v:textbox inset="0mm,0mm,0mm,0mm" style="mso-fit-shape-to-text:t;">
                <w:txbxContent>
                  <w:p>
                    <w:pPr>
                      <w:pStyle w:val="13"/>
                      <w:spacing w:line="240" w:lineRule="auto"/>
                      <w:ind w:firstLine="0" w:firstLineChars="0"/>
                      <w:rPr>
                        <w:sz w:val="24"/>
                        <w:szCs w:val="36"/>
                      </w:rPr>
                    </w:pPr>
                    <w:r>
                      <w:rPr>
                        <w:sz w:val="24"/>
                        <w:szCs w:val="36"/>
                      </w:rPr>
                      <w:fldChar w:fldCharType="begin"/>
                    </w:r>
                    <w:r>
                      <w:rPr>
                        <w:sz w:val="24"/>
                        <w:szCs w:val="36"/>
                      </w:rPr>
                      <w:instrText xml:space="preserve"> PAGE  \* MERGEFORMAT </w:instrText>
                    </w:r>
                    <w:r>
                      <w:rPr>
                        <w:sz w:val="24"/>
                        <w:szCs w:val="36"/>
                      </w:rPr>
                      <w:fldChar w:fldCharType="separate"/>
                    </w:r>
                    <w:r>
                      <w:rPr>
                        <w:sz w:val="24"/>
                        <w:szCs w:val="36"/>
                      </w:rPr>
                      <w:t>1</w:t>
                    </w:r>
                    <w:r>
                      <w:rPr>
                        <w:sz w:val="24"/>
                        <w:szCs w:val="36"/>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0" w:firstLineChars="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true"/>
  <w:bordersDoNotSurroundFooter w:val="true"/>
  <w:documentProtection w:enforcement="0"/>
  <w:defaultTabStop w:val="420"/>
  <w:drawingGridHorizontalSpacing w:val="160"/>
  <w:drawingGridVerticalSpacing w:val="435"/>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JkN2JlNjE5MDc4ZjM0ZWFhMjI3Y2RlZDE2MGE2ZjIifQ=="/>
  </w:docVars>
  <w:rsids>
    <w:rsidRoot w:val="00D91BC8"/>
    <w:rsid w:val="00000F34"/>
    <w:rsid w:val="0000109C"/>
    <w:rsid w:val="000015FC"/>
    <w:rsid w:val="0000161B"/>
    <w:rsid w:val="000020F4"/>
    <w:rsid w:val="00002C4C"/>
    <w:rsid w:val="000030AD"/>
    <w:rsid w:val="000031E8"/>
    <w:rsid w:val="00003894"/>
    <w:rsid w:val="00004ECC"/>
    <w:rsid w:val="00005269"/>
    <w:rsid w:val="000060BB"/>
    <w:rsid w:val="000060E1"/>
    <w:rsid w:val="000065E5"/>
    <w:rsid w:val="0000724E"/>
    <w:rsid w:val="00007743"/>
    <w:rsid w:val="00007FAB"/>
    <w:rsid w:val="000101F2"/>
    <w:rsid w:val="00010977"/>
    <w:rsid w:val="0001200E"/>
    <w:rsid w:val="00012082"/>
    <w:rsid w:val="00012435"/>
    <w:rsid w:val="000124C0"/>
    <w:rsid w:val="00012504"/>
    <w:rsid w:val="00012AA1"/>
    <w:rsid w:val="00013730"/>
    <w:rsid w:val="00013B27"/>
    <w:rsid w:val="00013B5C"/>
    <w:rsid w:val="0001437F"/>
    <w:rsid w:val="000145B9"/>
    <w:rsid w:val="00014DF5"/>
    <w:rsid w:val="00015CAC"/>
    <w:rsid w:val="000161F8"/>
    <w:rsid w:val="00016322"/>
    <w:rsid w:val="0001698A"/>
    <w:rsid w:val="0001721F"/>
    <w:rsid w:val="00017422"/>
    <w:rsid w:val="00020332"/>
    <w:rsid w:val="00021DC9"/>
    <w:rsid w:val="0002271F"/>
    <w:rsid w:val="00022BAB"/>
    <w:rsid w:val="00022F31"/>
    <w:rsid w:val="00023180"/>
    <w:rsid w:val="0002419C"/>
    <w:rsid w:val="00024D4D"/>
    <w:rsid w:val="0002540C"/>
    <w:rsid w:val="00025E37"/>
    <w:rsid w:val="000276F0"/>
    <w:rsid w:val="000277F6"/>
    <w:rsid w:val="00030380"/>
    <w:rsid w:val="00030952"/>
    <w:rsid w:val="000309AE"/>
    <w:rsid w:val="00030A11"/>
    <w:rsid w:val="00030A27"/>
    <w:rsid w:val="00031109"/>
    <w:rsid w:val="00031770"/>
    <w:rsid w:val="00032924"/>
    <w:rsid w:val="00032DB4"/>
    <w:rsid w:val="000337DE"/>
    <w:rsid w:val="00033AE3"/>
    <w:rsid w:val="0003411A"/>
    <w:rsid w:val="00034376"/>
    <w:rsid w:val="0003471E"/>
    <w:rsid w:val="00034A58"/>
    <w:rsid w:val="00034E22"/>
    <w:rsid w:val="0003554D"/>
    <w:rsid w:val="00035E28"/>
    <w:rsid w:val="00036FA9"/>
    <w:rsid w:val="000374A0"/>
    <w:rsid w:val="00037670"/>
    <w:rsid w:val="00037932"/>
    <w:rsid w:val="000417A2"/>
    <w:rsid w:val="000425B5"/>
    <w:rsid w:val="00042A5E"/>
    <w:rsid w:val="00042DF8"/>
    <w:rsid w:val="00043833"/>
    <w:rsid w:val="0004440E"/>
    <w:rsid w:val="000447A1"/>
    <w:rsid w:val="00044846"/>
    <w:rsid w:val="00044CB3"/>
    <w:rsid w:val="000455E0"/>
    <w:rsid w:val="000456DC"/>
    <w:rsid w:val="00045AA1"/>
    <w:rsid w:val="00046950"/>
    <w:rsid w:val="000473CB"/>
    <w:rsid w:val="00047AD4"/>
    <w:rsid w:val="00050071"/>
    <w:rsid w:val="00050160"/>
    <w:rsid w:val="0005017D"/>
    <w:rsid w:val="000517ED"/>
    <w:rsid w:val="00051B0F"/>
    <w:rsid w:val="00051E34"/>
    <w:rsid w:val="00052084"/>
    <w:rsid w:val="000534CC"/>
    <w:rsid w:val="0005443E"/>
    <w:rsid w:val="00055379"/>
    <w:rsid w:val="0005650D"/>
    <w:rsid w:val="0005682B"/>
    <w:rsid w:val="00057D05"/>
    <w:rsid w:val="0006001C"/>
    <w:rsid w:val="000617BF"/>
    <w:rsid w:val="000618C1"/>
    <w:rsid w:val="0006257B"/>
    <w:rsid w:val="0006265D"/>
    <w:rsid w:val="00064058"/>
    <w:rsid w:val="00064325"/>
    <w:rsid w:val="0006455C"/>
    <w:rsid w:val="00065175"/>
    <w:rsid w:val="00065421"/>
    <w:rsid w:val="00065A68"/>
    <w:rsid w:val="00065BD0"/>
    <w:rsid w:val="00065F00"/>
    <w:rsid w:val="000669C0"/>
    <w:rsid w:val="00066B7A"/>
    <w:rsid w:val="00067785"/>
    <w:rsid w:val="00067E61"/>
    <w:rsid w:val="00067F30"/>
    <w:rsid w:val="000706F2"/>
    <w:rsid w:val="0007077E"/>
    <w:rsid w:val="000717C3"/>
    <w:rsid w:val="00071C2E"/>
    <w:rsid w:val="00071D37"/>
    <w:rsid w:val="000721BD"/>
    <w:rsid w:val="000736FA"/>
    <w:rsid w:val="00073D07"/>
    <w:rsid w:val="00074EAF"/>
    <w:rsid w:val="00074EC4"/>
    <w:rsid w:val="00074F54"/>
    <w:rsid w:val="00075703"/>
    <w:rsid w:val="00076976"/>
    <w:rsid w:val="00076C8C"/>
    <w:rsid w:val="0007710F"/>
    <w:rsid w:val="00077529"/>
    <w:rsid w:val="00081067"/>
    <w:rsid w:val="00082C34"/>
    <w:rsid w:val="00082D5F"/>
    <w:rsid w:val="00082E01"/>
    <w:rsid w:val="000834F4"/>
    <w:rsid w:val="00083600"/>
    <w:rsid w:val="00083845"/>
    <w:rsid w:val="00085428"/>
    <w:rsid w:val="000864E1"/>
    <w:rsid w:val="00087FFD"/>
    <w:rsid w:val="0009021F"/>
    <w:rsid w:val="000904AC"/>
    <w:rsid w:val="000915B8"/>
    <w:rsid w:val="00091760"/>
    <w:rsid w:val="00091C34"/>
    <w:rsid w:val="0009228E"/>
    <w:rsid w:val="00092E9C"/>
    <w:rsid w:val="0009317E"/>
    <w:rsid w:val="0009329E"/>
    <w:rsid w:val="00093DE1"/>
    <w:rsid w:val="0009419B"/>
    <w:rsid w:val="00094C22"/>
    <w:rsid w:val="00096046"/>
    <w:rsid w:val="00096474"/>
    <w:rsid w:val="00096482"/>
    <w:rsid w:val="00096690"/>
    <w:rsid w:val="0009676E"/>
    <w:rsid w:val="0009745B"/>
    <w:rsid w:val="000A066D"/>
    <w:rsid w:val="000A09EA"/>
    <w:rsid w:val="000A0B6C"/>
    <w:rsid w:val="000A0BF3"/>
    <w:rsid w:val="000A0D63"/>
    <w:rsid w:val="000A1230"/>
    <w:rsid w:val="000A1E61"/>
    <w:rsid w:val="000A20F3"/>
    <w:rsid w:val="000A2F5F"/>
    <w:rsid w:val="000A3052"/>
    <w:rsid w:val="000A3059"/>
    <w:rsid w:val="000A3789"/>
    <w:rsid w:val="000A37EB"/>
    <w:rsid w:val="000A47C6"/>
    <w:rsid w:val="000A4BA4"/>
    <w:rsid w:val="000A5370"/>
    <w:rsid w:val="000A6217"/>
    <w:rsid w:val="000A6608"/>
    <w:rsid w:val="000A6B4D"/>
    <w:rsid w:val="000A6D1F"/>
    <w:rsid w:val="000A7233"/>
    <w:rsid w:val="000A7C4A"/>
    <w:rsid w:val="000B05D8"/>
    <w:rsid w:val="000B0B62"/>
    <w:rsid w:val="000B2074"/>
    <w:rsid w:val="000B2EBA"/>
    <w:rsid w:val="000B2F19"/>
    <w:rsid w:val="000B39A3"/>
    <w:rsid w:val="000B488E"/>
    <w:rsid w:val="000B5500"/>
    <w:rsid w:val="000B55CA"/>
    <w:rsid w:val="000B5DB9"/>
    <w:rsid w:val="000B67B8"/>
    <w:rsid w:val="000B7BA2"/>
    <w:rsid w:val="000B7D88"/>
    <w:rsid w:val="000C0737"/>
    <w:rsid w:val="000C1FF9"/>
    <w:rsid w:val="000C382B"/>
    <w:rsid w:val="000C3B64"/>
    <w:rsid w:val="000C3C7C"/>
    <w:rsid w:val="000C5B0B"/>
    <w:rsid w:val="000C5BD7"/>
    <w:rsid w:val="000C5D50"/>
    <w:rsid w:val="000C7541"/>
    <w:rsid w:val="000C7CC0"/>
    <w:rsid w:val="000D0C88"/>
    <w:rsid w:val="000D0DF2"/>
    <w:rsid w:val="000D0F48"/>
    <w:rsid w:val="000D1076"/>
    <w:rsid w:val="000D11A0"/>
    <w:rsid w:val="000D12D6"/>
    <w:rsid w:val="000D15FF"/>
    <w:rsid w:val="000D18C3"/>
    <w:rsid w:val="000D1DED"/>
    <w:rsid w:val="000D2552"/>
    <w:rsid w:val="000D2695"/>
    <w:rsid w:val="000D2813"/>
    <w:rsid w:val="000D2FED"/>
    <w:rsid w:val="000D3153"/>
    <w:rsid w:val="000D4182"/>
    <w:rsid w:val="000D436B"/>
    <w:rsid w:val="000D4C5F"/>
    <w:rsid w:val="000D4CC3"/>
    <w:rsid w:val="000D6086"/>
    <w:rsid w:val="000D6D96"/>
    <w:rsid w:val="000E005C"/>
    <w:rsid w:val="000E02BA"/>
    <w:rsid w:val="000E1C2D"/>
    <w:rsid w:val="000E1C79"/>
    <w:rsid w:val="000E22B7"/>
    <w:rsid w:val="000E30BC"/>
    <w:rsid w:val="000E3803"/>
    <w:rsid w:val="000E40FD"/>
    <w:rsid w:val="000E41AE"/>
    <w:rsid w:val="000E4460"/>
    <w:rsid w:val="000E459A"/>
    <w:rsid w:val="000E4777"/>
    <w:rsid w:val="000E4841"/>
    <w:rsid w:val="000E51CA"/>
    <w:rsid w:val="000E7359"/>
    <w:rsid w:val="000E7458"/>
    <w:rsid w:val="000E7BEF"/>
    <w:rsid w:val="000E7D57"/>
    <w:rsid w:val="000F0F7F"/>
    <w:rsid w:val="000F0FC0"/>
    <w:rsid w:val="000F1A7E"/>
    <w:rsid w:val="000F20E8"/>
    <w:rsid w:val="000F2457"/>
    <w:rsid w:val="000F257E"/>
    <w:rsid w:val="000F2B49"/>
    <w:rsid w:val="000F3119"/>
    <w:rsid w:val="000F3152"/>
    <w:rsid w:val="000F350A"/>
    <w:rsid w:val="000F45E5"/>
    <w:rsid w:val="000F4DE3"/>
    <w:rsid w:val="000F5563"/>
    <w:rsid w:val="000F5C5D"/>
    <w:rsid w:val="000F65F1"/>
    <w:rsid w:val="000F6D1C"/>
    <w:rsid w:val="000F6D84"/>
    <w:rsid w:val="000F78A8"/>
    <w:rsid w:val="00100CEA"/>
    <w:rsid w:val="001021D1"/>
    <w:rsid w:val="0010276E"/>
    <w:rsid w:val="00102A6D"/>
    <w:rsid w:val="0010360E"/>
    <w:rsid w:val="00103F4D"/>
    <w:rsid w:val="0010478B"/>
    <w:rsid w:val="00105257"/>
    <w:rsid w:val="001058FA"/>
    <w:rsid w:val="00105B91"/>
    <w:rsid w:val="00106323"/>
    <w:rsid w:val="00106440"/>
    <w:rsid w:val="001069DC"/>
    <w:rsid w:val="00106DA4"/>
    <w:rsid w:val="00107353"/>
    <w:rsid w:val="00107909"/>
    <w:rsid w:val="00107A37"/>
    <w:rsid w:val="00107ADA"/>
    <w:rsid w:val="00107B79"/>
    <w:rsid w:val="001109C2"/>
    <w:rsid w:val="00110E67"/>
    <w:rsid w:val="00110F94"/>
    <w:rsid w:val="0011309F"/>
    <w:rsid w:val="00113141"/>
    <w:rsid w:val="0011325B"/>
    <w:rsid w:val="001135B8"/>
    <w:rsid w:val="001135E0"/>
    <w:rsid w:val="00113729"/>
    <w:rsid w:val="00113896"/>
    <w:rsid w:val="00114466"/>
    <w:rsid w:val="001158DF"/>
    <w:rsid w:val="00115F37"/>
    <w:rsid w:val="001160E9"/>
    <w:rsid w:val="001162AE"/>
    <w:rsid w:val="001163D6"/>
    <w:rsid w:val="00117C38"/>
    <w:rsid w:val="00117EE0"/>
    <w:rsid w:val="00121892"/>
    <w:rsid w:val="0012218F"/>
    <w:rsid w:val="0012231D"/>
    <w:rsid w:val="00122CEB"/>
    <w:rsid w:val="00123A38"/>
    <w:rsid w:val="00123D85"/>
    <w:rsid w:val="00124194"/>
    <w:rsid w:val="001248A4"/>
    <w:rsid w:val="00124940"/>
    <w:rsid w:val="00125948"/>
    <w:rsid w:val="0013053F"/>
    <w:rsid w:val="001306DE"/>
    <w:rsid w:val="0013162D"/>
    <w:rsid w:val="0013167A"/>
    <w:rsid w:val="00131AFC"/>
    <w:rsid w:val="001326AF"/>
    <w:rsid w:val="00132A4B"/>
    <w:rsid w:val="00133721"/>
    <w:rsid w:val="001343D0"/>
    <w:rsid w:val="00134441"/>
    <w:rsid w:val="00134977"/>
    <w:rsid w:val="001354F5"/>
    <w:rsid w:val="001361B0"/>
    <w:rsid w:val="00136428"/>
    <w:rsid w:val="00136A46"/>
    <w:rsid w:val="00136EF1"/>
    <w:rsid w:val="00136F39"/>
    <w:rsid w:val="00137232"/>
    <w:rsid w:val="00137C4A"/>
    <w:rsid w:val="00140C39"/>
    <w:rsid w:val="00140F0C"/>
    <w:rsid w:val="00140FDB"/>
    <w:rsid w:val="001427A8"/>
    <w:rsid w:val="00142BC9"/>
    <w:rsid w:val="00142C51"/>
    <w:rsid w:val="001444DC"/>
    <w:rsid w:val="001450AD"/>
    <w:rsid w:val="001456C0"/>
    <w:rsid w:val="001466F8"/>
    <w:rsid w:val="00146BEF"/>
    <w:rsid w:val="00150000"/>
    <w:rsid w:val="00150595"/>
    <w:rsid w:val="001506A6"/>
    <w:rsid w:val="00150E7A"/>
    <w:rsid w:val="001519F3"/>
    <w:rsid w:val="001520E2"/>
    <w:rsid w:val="0015218E"/>
    <w:rsid w:val="00152E13"/>
    <w:rsid w:val="001531C8"/>
    <w:rsid w:val="0015391B"/>
    <w:rsid w:val="001556EE"/>
    <w:rsid w:val="00155A34"/>
    <w:rsid w:val="00155B1C"/>
    <w:rsid w:val="00156661"/>
    <w:rsid w:val="001568DB"/>
    <w:rsid w:val="0015768C"/>
    <w:rsid w:val="0015782D"/>
    <w:rsid w:val="00157E8F"/>
    <w:rsid w:val="001607B0"/>
    <w:rsid w:val="00160870"/>
    <w:rsid w:val="00160A1B"/>
    <w:rsid w:val="0016136F"/>
    <w:rsid w:val="00161768"/>
    <w:rsid w:val="0016253B"/>
    <w:rsid w:val="001627BA"/>
    <w:rsid w:val="00162AA4"/>
    <w:rsid w:val="001647E4"/>
    <w:rsid w:val="00165E87"/>
    <w:rsid w:val="00165FFD"/>
    <w:rsid w:val="00166118"/>
    <w:rsid w:val="0016646E"/>
    <w:rsid w:val="001668B9"/>
    <w:rsid w:val="001669AA"/>
    <w:rsid w:val="00167652"/>
    <w:rsid w:val="001701D5"/>
    <w:rsid w:val="00170A4A"/>
    <w:rsid w:val="00172335"/>
    <w:rsid w:val="0017272A"/>
    <w:rsid w:val="0017284A"/>
    <w:rsid w:val="0017345D"/>
    <w:rsid w:val="00173721"/>
    <w:rsid w:val="00174C1B"/>
    <w:rsid w:val="00174F68"/>
    <w:rsid w:val="0017560A"/>
    <w:rsid w:val="00175755"/>
    <w:rsid w:val="00175FB0"/>
    <w:rsid w:val="00180D7B"/>
    <w:rsid w:val="001813B7"/>
    <w:rsid w:val="00181C6E"/>
    <w:rsid w:val="00181E39"/>
    <w:rsid w:val="00182746"/>
    <w:rsid w:val="00183902"/>
    <w:rsid w:val="00183E16"/>
    <w:rsid w:val="0018410D"/>
    <w:rsid w:val="0018487B"/>
    <w:rsid w:val="00184D58"/>
    <w:rsid w:val="00185091"/>
    <w:rsid w:val="001855B7"/>
    <w:rsid w:val="00185DAC"/>
    <w:rsid w:val="00186081"/>
    <w:rsid w:val="00186357"/>
    <w:rsid w:val="001864F3"/>
    <w:rsid w:val="0018684C"/>
    <w:rsid w:val="00186A1D"/>
    <w:rsid w:val="00187C46"/>
    <w:rsid w:val="0019186A"/>
    <w:rsid w:val="00191F96"/>
    <w:rsid w:val="0019290C"/>
    <w:rsid w:val="00193D60"/>
    <w:rsid w:val="00193DD2"/>
    <w:rsid w:val="00193E29"/>
    <w:rsid w:val="00194905"/>
    <w:rsid w:val="00195864"/>
    <w:rsid w:val="00195A0B"/>
    <w:rsid w:val="001963D0"/>
    <w:rsid w:val="00196A42"/>
    <w:rsid w:val="00197029"/>
    <w:rsid w:val="0019719E"/>
    <w:rsid w:val="0019797A"/>
    <w:rsid w:val="00197E8D"/>
    <w:rsid w:val="001A0AB9"/>
    <w:rsid w:val="001A0B53"/>
    <w:rsid w:val="001A0BE2"/>
    <w:rsid w:val="001A1A88"/>
    <w:rsid w:val="001A220C"/>
    <w:rsid w:val="001A2A0A"/>
    <w:rsid w:val="001A2BD4"/>
    <w:rsid w:val="001A307C"/>
    <w:rsid w:val="001A466F"/>
    <w:rsid w:val="001A4B51"/>
    <w:rsid w:val="001A4E84"/>
    <w:rsid w:val="001A5105"/>
    <w:rsid w:val="001A5BDC"/>
    <w:rsid w:val="001A5F3D"/>
    <w:rsid w:val="001A63F9"/>
    <w:rsid w:val="001A669E"/>
    <w:rsid w:val="001A7446"/>
    <w:rsid w:val="001A7B61"/>
    <w:rsid w:val="001A7F67"/>
    <w:rsid w:val="001B06F3"/>
    <w:rsid w:val="001B3C0F"/>
    <w:rsid w:val="001B3D10"/>
    <w:rsid w:val="001B4372"/>
    <w:rsid w:val="001B4897"/>
    <w:rsid w:val="001B5094"/>
    <w:rsid w:val="001B5114"/>
    <w:rsid w:val="001B57AF"/>
    <w:rsid w:val="001B5FE1"/>
    <w:rsid w:val="001B6440"/>
    <w:rsid w:val="001C06A0"/>
    <w:rsid w:val="001C0924"/>
    <w:rsid w:val="001C0965"/>
    <w:rsid w:val="001C1384"/>
    <w:rsid w:val="001C1699"/>
    <w:rsid w:val="001C1A1D"/>
    <w:rsid w:val="001C260B"/>
    <w:rsid w:val="001C275B"/>
    <w:rsid w:val="001C3144"/>
    <w:rsid w:val="001C3626"/>
    <w:rsid w:val="001C37AB"/>
    <w:rsid w:val="001C3BED"/>
    <w:rsid w:val="001C40AD"/>
    <w:rsid w:val="001C43C2"/>
    <w:rsid w:val="001C4AF4"/>
    <w:rsid w:val="001C4BC0"/>
    <w:rsid w:val="001C5137"/>
    <w:rsid w:val="001C5404"/>
    <w:rsid w:val="001C5E85"/>
    <w:rsid w:val="001C5F13"/>
    <w:rsid w:val="001C6533"/>
    <w:rsid w:val="001C7D76"/>
    <w:rsid w:val="001D03C2"/>
    <w:rsid w:val="001D1FAE"/>
    <w:rsid w:val="001D274E"/>
    <w:rsid w:val="001D34A4"/>
    <w:rsid w:val="001D34A5"/>
    <w:rsid w:val="001D446A"/>
    <w:rsid w:val="001D49A1"/>
    <w:rsid w:val="001D4C6E"/>
    <w:rsid w:val="001D54BA"/>
    <w:rsid w:val="001D5920"/>
    <w:rsid w:val="001D5BA8"/>
    <w:rsid w:val="001D61F5"/>
    <w:rsid w:val="001D628A"/>
    <w:rsid w:val="001D69FA"/>
    <w:rsid w:val="001D6DBB"/>
    <w:rsid w:val="001D73AD"/>
    <w:rsid w:val="001D7C99"/>
    <w:rsid w:val="001D7ECF"/>
    <w:rsid w:val="001E0309"/>
    <w:rsid w:val="001E0A79"/>
    <w:rsid w:val="001E11F6"/>
    <w:rsid w:val="001E1C55"/>
    <w:rsid w:val="001E1D4E"/>
    <w:rsid w:val="001E20EC"/>
    <w:rsid w:val="001E377A"/>
    <w:rsid w:val="001E3811"/>
    <w:rsid w:val="001E5843"/>
    <w:rsid w:val="001E5C35"/>
    <w:rsid w:val="001E67DE"/>
    <w:rsid w:val="001E6A0E"/>
    <w:rsid w:val="001E6FBF"/>
    <w:rsid w:val="001E747B"/>
    <w:rsid w:val="001E7539"/>
    <w:rsid w:val="001E79CE"/>
    <w:rsid w:val="001E79E9"/>
    <w:rsid w:val="001E7DC6"/>
    <w:rsid w:val="001F0B04"/>
    <w:rsid w:val="001F0B18"/>
    <w:rsid w:val="001F1491"/>
    <w:rsid w:val="001F19A0"/>
    <w:rsid w:val="001F297C"/>
    <w:rsid w:val="001F3000"/>
    <w:rsid w:val="001F3602"/>
    <w:rsid w:val="001F3918"/>
    <w:rsid w:val="001F3AA6"/>
    <w:rsid w:val="001F49CA"/>
    <w:rsid w:val="001F4A9C"/>
    <w:rsid w:val="001F4CAC"/>
    <w:rsid w:val="001F5698"/>
    <w:rsid w:val="001F56B7"/>
    <w:rsid w:val="001F5793"/>
    <w:rsid w:val="001F5F04"/>
    <w:rsid w:val="001F659E"/>
    <w:rsid w:val="001F661B"/>
    <w:rsid w:val="001F7189"/>
    <w:rsid w:val="00202047"/>
    <w:rsid w:val="00202B08"/>
    <w:rsid w:val="002033BB"/>
    <w:rsid w:val="002044CC"/>
    <w:rsid w:val="0020496A"/>
    <w:rsid w:val="00204CFC"/>
    <w:rsid w:val="002059EE"/>
    <w:rsid w:val="002066A2"/>
    <w:rsid w:val="002068B2"/>
    <w:rsid w:val="00206D1B"/>
    <w:rsid w:val="00207277"/>
    <w:rsid w:val="00210431"/>
    <w:rsid w:val="002108BC"/>
    <w:rsid w:val="0021110B"/>
    <w:rsid w:val="00212616"/>
    <w:rsid w:val="0021334E"/>
    <w:rsid w:val="00213568"/>
    <w:rsid w:val="0021437B"/>
    <w:rsid w:val="00214BC5"/>
    <w:rsid w:val="0021515D"/>
    <w:rsid w:val="00215729"/>
    <w:rsid w:val="00215F5F"/>
    <w:rsid w:val="00216C79"/>
    <w:rsid w:val="00216D21"/>
    <w:rsid w:val="0021756C"/>
    <w:rsid w:val="002201E0"/>
    <w:rsid w:val="0022044F"/>
    <w:rsid w:val="00221BBB"/>
    <w:rsid w:val="00222D98"/>
    <w:rsid w:val="00226241"/>
    <w:rsid w:val="0022725C"/>
    <w:rsid w:val="0022749F"/>
    <w:rsid w:val="00230B45"/>
    <w:rsid w:val="00230C51"/>
    <w:rsid w:val="00230FF5"/>
    <w:rsid w:val="00231E15"/>
    <w:rsid w:val="00234B99"/>
    <w:rsid w:val="002353CE"/>
    <w:rsid w:val="00235A88"/>
    <w:rsid w:val="00235AD8"/>
    <w:rsid w:val="00236034"/>
    <w:rsid w:val="00236262"/>
    <w:rsid w:val="002364EF"/>
    <w:rsid w:val="00236513"/>
    <w:rsid w:val="0023681D"/>
    <w:rsid w:val="002371B3"/>
    <w:rsid w:val="0024001A"/>
    <w:rsid w:val="00240760"/>
    <w:rsid w:val="00240AEE"/>
    <w:rsid w:val="00241812"/>
    <w:rsid w:val="00242235"/>
    <w:rsid w:val="00242240"/>
    <w:rsid w:val="00243F50"/>
    <w:rsid w:val="002449BB"/>
    <w:rsid w:val="00244A19"/>
    <w:rsid w:val="00245609"/>
    <w:rsid w:val="00246268"/>
    <w:rsid w:val="002462AE"/>
    <w:rsid w:val="002465DA"/>
    <w:rsid w:val="0024672A"/>
    <w:rsid w:val="00250FA8"/>
    <w:rsid w:val="00251507"/>
    <w:rsid w:val="002516E2"/>
    <w:rsid w:val="0025196E"/>
    <w:rsid w:val="002529AE"/>
    <w:rsid w:val="00252F72"/>
    <w:rsid w:val="00253426"/>
    <w:rsid w:val="0025395F"/>
    <w:rsid w:val="002552CF"/>
    <w:rsid w:val="0025707D"/>
    <w:rsid w:val="00261333"/>
    <w:rsid w:val="002640CB"/>
    <w:rsid w:val="002647B4"/>
    <w:rsid w:val="002653E7"/>
    <w:rsid w:val="00266082"/>
    <w:rsid w:val="00266DEF"/>
    <w:rsid w:val="0026716D"/>
    <w:rsid w:val="002671D2"/>
    <w:rsid w:val="00267A7B"/>
    <w:rsid w:val="00270043"/>
    <w:rsid w:val="002718F9"/>
    <w:rsid w:val="00271C69"/>
    <w:rsid w:val="002721CF"/>
    <w:rsid w:val="002723A7"/>
    <w:rsid w:val="002724E5"/>
    <w:rsid w:val="0027276C"/>
    <w:rsid w:val="0027341F"/>
    <w:rsid w:val="0027413B"/>
    <w:rsid w:val="00274248"/>
    <w:rsid w:val="00275093"/>
    <w:rsid w:val="0027568B"/>
    <w:rsid w:val="00275751"/>
    <w:rsid w:val="00275793"/>
    <w:rsid w:val="00275868"/>
    <w:rsid w:val="00275BD7"/>
    <w:rsid w:val="00276214"/>
    <w:rsid w:val="00276B2D"/>
    <w:rsid w:val="002773DC"/>
    <w:rsid w:val="00277673"/>
    <w:rsid w:val="002777B8"/>
    <w:rsid w:val="00277DCB"/>
    <w:rsid w:val="002802BD"/>
    <w:rsid w:val="00280B75"/>
    <w:rsid w:val="00281B3E"/>
    <w:rsid w:val="002820D5"/>
    <w:rsid w:val="0028247E"/>
    <w:rsid w:val="00284323"/>
    <w:rsid w:val="002845F9"/>
    <w:rsid w:val="002850F6"/>
    <w:rsid w:val="0028528E"/>
    <w:rsid w:val="0028551F"/>
    <w:rsid w:val="002859B4"/>
    <w:rsid w:val="00285B2D"/>
    <w:rsid w:val="00286885"/>
    <w:rsid w:val="00286D66"/>
    <w:rsid w:val="00286DE4"/>
    <w:rsid w:val="00287336"/>
    <w:rsid w:val="00287644"/>
    <w:rsid w:val="00287984"/>
    <w:rsid w:val="00287B5C"/>
    <w:rsid w:val="00287D53"/>
    <w:rsid w:val="0029027B"/>
    <w:rsid w:val="002902F0"/>
    <w:rsid w:val="002907FE"/>
    <w:rsid w:val="002918C2"/>
    <w:rsid w:val="00291922"/>
    <w:rsid w:val="00291BB0"/>
    <w:rsid w:val="00291BC9"/>
    <w:rsid w:val="00292610"/>
    <w:rsid w:val="002926CA"/>
    <w:rsid w:val="00292934"/>
    <w:rsid w:val="00292F96"/>
    <w:rsid w:val="00293BEE"/>
    <w:rsid w:val="0029546F"/>
    <w:rsid w:val="00296087"/>
    <w:rsid w:val="002965AF"/>
    <w:rsid w:val="00296796"/>
    <w:rsid w:val="00296BD9"/>
    <w:rsid w:val="00297566"/>
    <w:rsid w:val="00297985"/>
    <w:rsid w:val="00297E07"/>
    <w:rsid w:val="00297F01"/>
    <w:rsid w:val="002A032A"/>
    <w:rsid w:val="002A039C"/>
    <w:rsid w:val="002A1859"/>
    <w:rsid w:val="002A1D6E"/>
    <w:rsid w:val="002A1F07"/>
    <w:rsid w:val="002A2432"/>
    <w:rsid w:val="002A26A5"/>
    <w:rsid w:val="002A349D"/>
    <w:rsid w:val="002A3741"/>
    <w:rsid w:val="002A3BE7"/>
    <w:rsid w:val="002A508B"/>
    <w:rsid w:val="002A5242"/>
    <w:rsid w:val="002A56FD"/>
    <w:rsid w:val="002A5A9A"/>
    <w:rsid w:val="002A673F"/>
    <w:rsid w:val="002A6DA1"/>
    <w:rsid w:val="002A6EDC"/>
    <w:rsid w:val="002A7A5F"/>
    <w:rsid w:val="002B2230"/>
    <w:rsid w:val="002B2A52"/>
    <w:rsid w:val="002B2A53"/>
    <w:rsid w:val="002B2BA0"/>
    <w:rsid w:val="002B2CAD"/>
    <w:rsid w:val="002B3686"/>
    <w:rsid w:val="002B4436"/>
    <w:rsid w:val="002B4751"/>
    <w:rsid w:val="002B4FA8"/>
    <w:rsid w:val="002B5701"/>
    <w:rsid w:val="002B5E75"/>
    <w:rsid w:val="002B6324"/>
    <w:rsid w:val="002B675C"/>
    <w:rsid w:val="002B6AAF"/>
    <w:rsid w:val="002B6B57"/>
    <w:rsid w:val="002B6FA8"/>
    <w:rsid w:val="002B7DD8"/>
    <w:rsid w:val="002C0398"/>
    <w:rsid w:val="002C1241"/>
    <w:rsid w:val="002C158A"/>
    <w:rsid w:val="002C257F"/>
    <w:rsid w:val="002C2C5C"/>
    <w:rsid w:val="002C3CBA"/>
    <w:rsid w:val="002C4223"/>
    <w:rsid w:val="002C4C82"/>
    <w:rsid w:val="002C5BE4"/>
    <w:rsid w:val="002C5F89"/>
    <w:rsid w:val="002C6814"/>
    <w:rsid w:val="002C7D75"/>
    <w:rsid w:val="002D0043"/>
    <w:rsid w:val="002D04A4"/>
    <w:rsid w:val="002D13A5"/>
    <w:rsid w:val="002D164D"/>
    <w:rsid w:val="002D21B0"/>
    <w:rsid w:val="002D239F"/>
    <w:rsid w:val="002D265B"/>
    <w:rsid w:val="002D2BCA"/>
    <w:rsid w:val="002D34A2"/>
    <w:rsid w:val="002D3751"/>
    <w:rsid w:val="002D3A58"/>
    <w:rsid w:val="002D3CE8"/>
    <w:rsid w:val="002D3CFE"/>
    <w:rsid w:val="002D4752"/>
    <w:rsid w:val="002D6146"/>
    <w:rsid w:val="002D6597"/>
    <w:rsid w:val="002D6A5C"/>
    <w:rsid w:val="002D6E27"/>
    <w:rsid w:val="002D6F6C"/>
    <w:rsid w:val="002D74BE"/>
    <w:rsid w:val="002D7886"/>
    <w:rsid w:val="002D791A"/>
    <w:rsid w:val="002E04B7"/>
    <w:rsid w:val="002E0AA1"/>
    <w:rsid w:val="002E0CAF"/>
    <w:rsid w:val="002E1A5E"/>
    <w:rsid w:val="002E1AC4"/>
    <w:rsid w:val="002E2360"/>
    <w:rsid w:val="002E2F48"/>
    <w:rsid w:val="002E3590"/>
    <w:rsid w:val="002E35FC"/>
    <w:rsid w:val="002E395A"/>
    <w:rsid w:val="002E4232"/>
    <w:rsid w:val="002E494D"/>
    <w:rsid w:val="002E6459"/>
    <w:rsid w:val="002E645F"/>
    <w:rsid w:val="002E667E"/>
    <w:rsid w:val="002F0055"/>
    <w:rsid w:val="002F05C3"/>
    <w:rsid w:val="002F0B7C"/>
    <w:rsid w:val="002F190E"/>
    <w:rsid w:val="002F1CAE"/>
    <w:rsid w:val="002F1F1A"/>
    <w:rsid w:val="002F360B"/>
    <w:rsid w:val="002F3A24"/>
    <w:rsid w:val="002F3B25"/>
    <w:rsid w:val="002F3B63"/>
    <w:rsid w:val="002F3D3F"/>
    <w:rsid w:val="002F6120"/>
    <w:rsid w:val="002F6576"/>
    <w:rsid w:val="002F7013"/>
    <w:rsid w:val="002F74D6"/>
    <w:rsid w:val="002F791C"/>
    <w:rsid w:val="002F7EE3"/>
    <w:rsid w:val="003005F6"/>
    <w:rsid w:val="00300AD0"/>
    <w:rsid w:val="00301512"/>
    <w:rsid w:val="00301D5F"/>
    <w:rsid w:val="00301EF6"/>
    <w:rsid w:val="0030224B"/>
    <w:rsid w:val="0030268E"/>
    <w:rsid w:val="003026A4"/>
    <w:rsid w:val="003029E2"/>
    <w:rsid w:val="00303357"/>
    <w:rsid w:val="00303503"/>
    <w:rsid w:val="00303B66"/>
    <w:rsid w:val="00304107"/>
    <w:rsid w:val="003041B0"/>
    <w:rsid w:val="00304E17"/>
    <w:rsid w:val="00304E2D"/>
    <w:rsid w:val="003051DE"/>
    <w:rsid w:val="00305B8A"/>
    <w:rsid w:val="00305D48"/>
    <w:rsid w:val="003060F6"/>
    <w:rsid w:val="0030643D"/>
    <w:rsid w:val="003068F0"/>
    <w:rsid w:val="00306A56"/>
    <w:rsid w:val="00306AAF"/>
    <w:rsid w:val="00307CEE"/>
    <w:rsid w:val="0031010E"/>
    <w:rsid w:val="00310E48"/>
    <w:rsid w:val="003132DA"/>
    <w:rsid w:val="00313A1B"/>
    <w:rsid w:val="00314312"/>
    <w:rsid w:val="00314A02"/>
    <w:rsid w:val="00314FA9"/>
    <w:rsid w:val="003151A6"/>
    <w:rsid w:val="00315305"/>
    <w:rsid w:val="003162D3"/>
    <w:rsid w:val="003166C9"/>
    <w:rsid w:val="00317944"/>
    <w:rsid w:val="00317A52"/>
    <w:rsid w:val="00317AC8"/>
    <w:rsid w:val="00320AE2"/>
    <w:rsid w:val="00320CE5"/>
    <w:rsid w:val="00321597"/>
    <w:rsid w:val="00321752"/>
    <w:rsid w:val="00321791"/>
    <w:rsid w:val="00322C61"/>
    <w:rsid w:val="0032335B"/>
    <w:rsid w:val="00323711"/>
    <w:rsid w:val="00323D82"/>
    <w:rsid w:val="0032496D"/>
    <w:rsid w:val="00324AA7"/>
    <w:rsid w:val="00324F12"/>
    <w:rsid w:val="00325209"/>
    <w:rsid w:val="0032525D"/>
    <w:rsid w:val="003257E9"/>
    <w:rsid w:val="003258BA"/>
    <w:rsid w:val="00325EBF"/>
    <w:rsid w:val="00326E36"/>
    <w:rsid w:val="00327243"/>
    <w:rsid w:val="00327C7C"/>
    <w:rsid w:val="00327C8C"/>
    <w:rsid w:val="0033032A"/>
    <w:rsid w:val="00332B20"/>
    <w:rsid w:val="00332BA4"/>
    <w:rsid w:val="00332BBF"/>
    <w:rsid w:val="00332CA4"/>
    <w:rsid w:val="00333362"/>
    <w:rsid w:val="00333708"/>
    <w:rsid w:val="0033397F"/>
    <w:rsid w:val="00333FEB"/>
    <w:rsid w:val="00334E31"/>
    <w:rsid w:val="00335776"/>
    <w:rsid w:val="00335B5A"/>
    <w:rsid w:val="0033613E"/>
    <w:rsid w:val="00336289"/>
    <w:rsid w:val="00336646"/>
    <w:rsid w:val="00336C24"/>
    <w:rsid w:val="00336D26"/>
    <w:rsid w:val="00337009"/>
    <w:rsid w:val="0033711A"/>
    <w:rsid w:val="003373AF"/>
    <w:rsid w:val="00337588"/>
    <w:rsid w:val="00337AC1"/>
    <w:rsid w:val="00340336"/>
    <w:rsid w:val="00340803"/>
    <w:rsid w:val="0034153A"/>
    <w:rsid w:val="0034282E"/>
    <w:rsid w:val="00342C06"/>
    <w:rsid w:val="00342C6C"/>
    <w:rsid w:val="00342E9D"/>
    <w:rsid w:val="003431AE"/>
    <w:rsid w:val="003432FD"/>
    <w:rsid w:val="003440A4"/>
    <w:rsid w:val="003443A0"/>
    <w:rsid w:val="00344B62"/>
    <w:rsid w:val="003451E1"/>
    <w:rsid w:val="003452ED"/>
    <w:rsid w:val="00345596"/>
    <w:rsid w:val="0034591A"/>
    <w:rsid w:val="003459C2"/>
    <w:rsid w:val="003467E1"/>
    <w:rsid w:val="00346B3D"/>
    <w:rsid w:val="00346B70"/>
    <w:rsid w:val="00346BD3"/>
    <w:rsid w:val="003474E2"/>
    <w:rsid w:val="00347BE5"/>
    <w:rsid w:val="00347D75"/>
    <w:rsid w:val="003504B7"/>
    <w:rsid w:val="00350A1C"/>
    <w:rsid w:val="0035179F"/>
    <w:rsid w:val="00351A0A"/>
    <w:rsid w:val="00352188"/>
    <w:rsid w:val="003529A2"/>
    <w:rsid w:val="00352E26"/>
    <w:rsid w:val="00352E92"/>
    <w:rsid w:val="00352EBA"/>
    <w:rsid w:val="00352F53"/>
    <w:rsid w:val="003532E5"/>
    <w:rsid w:val="003540FE"/>
    <w:rsid w:val="00354261"/>
    <w:rsid w:val="00354774"/>
    <w:rsid w:val="00354AB1"/>
    <w:rsid w:val="00355057"/>
    <w:rsid w:val="00355136"/>
    <w:rsid w:val="00355992"/>
    <w:rsid w:val="003563B8"/>
    <w:rsid w:val="00356496"/>
    <w:rsid w:val="0035690C"/>
    <w:rsid w:val="00356A89"/>
    <w:rsid w:val="0035778C"/>
    <w:rsid w:val="00360A1C"/>
    <w:rsid w:val="00361833"/>
    <w:rsid w:val="00361A86"/>
    <w:rsid w:val="00361B82"/>
    <w:rsid w:val="00361BF0"/>
    <w:rsid w:val="00362994"/>
    <w:rsid w:val="003629DE"/>
    <w:rsid w:val="00364649"/>
    <w:rsid w:val="00364E04"/>
    <w:rsid w:val="00365A31"/>
    <w:rsid w:val="003665D2"/>
    <w:rsid w:val="00366618"/>
    <w:rsid w:val="003669A1"/>
    <w:rsid w:val="0036782A"/>
    <w:rsid w:val="00370837"/>
    <w:rsid w:val="00371747"/>
    <w:rsid w:val="00371CD0"/>
    <w:rsid w:val="00371CDB"/>
    <w:rsid w:val="003720AB"/>
    <w:rsid w:val="0037285F"/>
    <w:rsid w:val="0037287A"/>
    <w:rsid w:val="00372E1F"/>
    <w:rsid w:val="00372F03"/>
    <w:rsid w:val="003734FB"/>
    <w:rsid w:val="00373790"/>
    <w:rsid w:val="003749AB"/>
    <w:rsid w:val="0037500E"/>
    <w:rsid w:val="003753A5"/>
    <w:rsid w:val="00375CD0"/>
    <w:rsid w:val="00376003"/>
    <w:rsid w:val="003762F0"/>
    <w:rsid w:val="00376C32"/>
    <w:rsid w:val="00377760"/>
    <w:rsid w:val="00380257"/>
    <w:rsid w:val="003810ED"/>
    <w:rsid w:val="00382185"/>
    <w:rsid w:val="0038252F"/>
    <w:rsid w:val="00382547"/>
    <w:rsid w:val="003838FF"/>
    <w:rsid w:val="00384476"/>
    <w:rsid w:val="003844C0"/>
    <w:rsid w:val="003848FA"/>
    <w:rsid w:val="003857EF"/>
    <w:rsid w:val="0038637A"/>
    <w:rsid w:val="00386D18"/>
    <w:rsid w:val="00387521"/>
    <w:rsid w:val="00387795"/>
    <w:rsid w:val="00387AA9"/>
    <w:rsid w:val="00387C47"/>
    <w:rsid w:val="00387C4D"/>
    <w:rsid w:val="00390516"/>
    <w:rsid w:val="00390564"/>
    <w:rsid w:val="003916B7"/>
    <w:rsid w:val="00391B2F"/>
    <w:rsid w:val="00391E61"/>
    <w:rsid w:val="0039201D"/>
    <w:rsid w:val="00392D9C"/>
    <w:rsid w:val="00393B99"/>
    <w:rsid w:val="00393D18"/>
    <w:rsid w:val="003942FC"/>
    <w:rsid w:val="0039452B"/>
    <w:rsid w:val="0039588D"/>
    <w:rsid w:val="00396EA0"/>
    <w:rsid w:val="003973DB"/>
    <w:rsid w:val="00397E7B"/>
    <w:rsid w:val="003A002A"/>
    <w:rsid w:val="003A3808"/>
    <w:rsid w:val="003A47B3"/>
    <w:rsid w:val="003A4A20"/>
    <w:rsid w:val="003A4E77"/>
    <w:rsid w:val="003A50B8"/>
    <w:rsid w:val="003A50D7"/>
    <w:rsid w:val="003A5138"/>
    <w:rsid w:val="003A7CAC"/>
    <w:rsid w:val="003A7EA0"/>
    <w:rsid w:val="003B0342"/>
    <w:rsid w:val="003B0369"/>
    <w:rsid w:val="003B0569"/>
    <w:rsid w:val="003B0A91"/>
    <w:rsid w:val="003B0FA6"/>
    <w:rsid w:val="003B15B0"/>
    <w:rsid w:val="003B1A22"/>
    <w:rsid w:val="003B2146"/>
    <w:rsid w:val="003B215E"/>
    <w:rsid w:val="003B310D"/>
    <w:rsid w:val="003B399D"/>
    <w:rsid w:val="003B507E"/>
    <w:rsid w:val="003B5145"/>
    <w:rsid w:val="003B5625"/>
    <w:rsid w:val="003B61B4"/>
    <w:rsid w:val="003B621A"/>
    <w:rsid w:val="003B6C2D"/>
    <w:rsid w:val="003B6D14"/>
    <w:rsid w:val="003B6EE2"/>
    <w:rsid w:val="003B78B5"/>
    <w:rsid w:val="003C17D6"/>
    <w:rsid w:val="003C29E9"/>
    <w:rsid w:val="003C3B2B"/>
    <w:rsid w:val="003C5CC0"/>
    <w:rsid w:val="003C6469"/>
    <w:rsid w:val="003C6E9B"/>
    <w:rsid w:val="003C75E6"/>
    <w:rsid w:val="003C78D5"/>
    <w:rsid w:val="003C794B"/>
    <w:rsid w:val="003D12E6"/>
    <w:rsid w:val="003D19C1"/>
    <w:rsid w:val="003D21A0"/>
    <w:rsid w:val="003D2404"/>
    <w:rsid w:val="003D2901"/>
    <w:rsid w:val="003D340A"/>
    <w:rsid w:val="003D3733"/>
    <w:rsid w:val="003D396B"/>
    <w:rsid w:val="003D3AE9"/>
    <w:rsid w:val="003D3FA1"/>
    <w:rsid w:val="003D420E"/>
    <w:rsid w:val="003D529F"/>
    <w:rsid w:val="003D59F0"/>
    <w:rsid w:val="003D5D27"/>
    <w:rsid w:val="003D68D2"/>
    <w:rsid w:val="003D6A3E"/>
    <w:rsid w:val="003D71EA"/>
    <w:rsid w:val="003D77D0"/>
    <w:rsid w:val="003E0922"/>
    <w:rsid w:val="003E1855"/>
    <w:rsid w:val="003E1B04"/>
    <w:rsid w:val="003E2B0B"/>
    <w:rsid w:val="003E2B30"/>
    <w:rsid w:val="003E2DD3"/>
    <w:rsid w:val="003E3064"/>
    <w:rsid w:val="003E30E8"/>
    <w:rsid w:val="003E37C6"/>
    <w:rsid w:val="003E3CF5"/>
    <w:rsid w:val="003E3F2D"/>
    <w:rsid w:val="003E44DA"/>
    <w:rsid w:val="003E46D8"/>
    <w:rsid w:val="003E4C29"/>
    <w:rsid w:val="003E4E7A"/>
    <w:rsid w:val="003E5EFA"/>
    <w:rsid w:val="003E63B5"/>
    <w:rsid w:val="003E6941"/>
    <w:rsid w:val="003E6B0A"/>
    <w:rsid w:val="003E72B2"/>
    <w:rsid w:val="003E7797"/>
    <w:rsid w:val="003E7D70"/>
    <w:rsid w:val="003F00F5"/>
    <w:rsid w:val="003F08ED"/>
    <w:rsid w:val="003F186C"/>
    <w:rsid w:val="003F1901"/>
    <w:rsid w:val="003F2A71"/>
    <w:rsid w:val="003F3A3F"/>
    <w:rsid w:val="003F3FF3"/>
    <w:rsid w:val="003F6013"/>
    <w:rsid w:val="003F60E0"/>
    <w:rsid w:val="003F7050"/>
    <w:rsid w:val="003F72F9"/>
    <w:rsid w:val="004007BE"/>
    <w:rsid w:val="004019D5"/>
    <w:rsid w:val="00401EF0"/>
    <w:rsid w:val="00402328"/>
    <w:rsid w:val="00402628"/>
    <w:rsid w:val="004027D7"/>
    <w:rsid w:val="00402D09"/>
    <w:rsid w:val="0040384F"/>
    <w:rsid w:val="00403E71"/>
    <w:rsid w:val="0040472D"/>
    <w:rsid w:val="004047CA"/>
    <w:rsid w:val="00404808"/>
    <w:rsid w:val="00404A5B"/>
    <w:rsid w:val="00404D8C"/>
    <w:rsid w:val="00404ED3"/>
    <w:rsid w:val="00404ED5"/>
    <w:rsid w:val="004060F2"/>
    <w:rsid w:val="004062EB"/>
    <w:rsid w:val="00406BC7"/>
    <w:rsid w:val="00407528"/>
    <w:rsid w:val="00407553"/>
    <w:rsid w:val="00407565"/>
    <w:rsid w:val="00407C94"/>
    <w:rsid w:val="004101FE"/>
    <w:rsid w:val="00410BAD"/>
    <w:rsid w:val="00410D73"/>
    <w:rsid w:val="00411E45"/>
    <w:rsid w:val="00412095"/>
    <w:rsid w:val="00412267"/>
    <w:rsid w:val="00413803"/>
    <w:rsid w:val="00413828"/>
    <w:rsid w:val="00413900"/>
    <w:rsid w:val="00413ECF"/>
    <w:rsid w:val="00415413"/>
    <w:rsid w:val="004154DC"/>
    <w:rsid w:val="0041697D"/>
    <w:rsid w:val="00417326"/>
    <w:rsid w:val="004176CD"/>
    <w:rsid w:val="00417FF0"/>
    <w:rsid w:val="0042109F"/>
    <w:rsid w:val="00421158"/>
    <w:rsid w:val="00421C9C"/>
    <w:rsid w:val="004229E5"/>
    <w:rsid w:val="00422CC6"/>
    <w:rsid w:val="00423BC0"/>
    <w:rsid w:val="00424086"/>
    <w:rsid w:val="004241CA"/>
    <w:rsid w:val="004243EB"/>
    <w:rsid w:val="004245E2"/>
    <w:rsid w:val="004246FB"/>
    <w:rsid w:val="004253A8"/>
    <w:rsid w:val="00425AE1"/>
    <w:rsid w:val="00425FC5"/>
    <w:rsid w:val="0042667D"/>
    <w:rsid w:val="004307C6"/>
    <w:rsid w:val="00432753"/>
    <w:rsid w:val="00432E5C"/>
    <w:rsid w:val="00432EA8"/>
    <w:rsid w:val="00433829"/>
    <w:rsid w:val="0043426A"/>
    <w:rsid w:val="00434322"/>
    <w:rsid w:val="00434958"/>
    <w:rsid w:val="00434AE6"/>
    <w:rsid w:val="004354B3"/>
    <w:rsid w:val="00435E68"/>
    <w:rsid w:val="004362BA"/>
    <w:rsid w:val="00436314"/>
    <w:rsid w:val="00436329"/>
    <w:rsid w:val="0043639E"/>
    <w:rsid w:val="004364CF"/>
    <w:rsid w:val="00436B94"/>
    <w:rsid w:val="00436FC1"/>
    <w:rsid w:val="00437856"/>
    <w:rsid w:val="004379C9"/>
    <w:rsid w:val="00441D83"/>
    <w:rsid w:val="00442113"/>
    <w:rsid w:val="00442324"/>
    <w:rsid w:val="00442B41"/>
    <w:rsid w:val="004437B7"/>
    <w:rsid w:val="00443931"/>
    <w:rsid w:val="0044424D"/>
    <w:rsid w:val="0044439D"/>
    <w:rsid w:val="0044461C"/>
    <w:rsid w:val="00444B87"/>
    <w:rsid w:val="00444F72"/>
    <w:rsid w:val="004458EE"/>
    <w:rsid w:val="0044617C"/>
    <w:rsid w:val="00446DB5"/>
    <w:rsid w:val="00447069"/>
    <w:rsid w:val="0044720D"/>
    <w:rsid w:val="00447A58"/>
    <w:rsid w:val="00450712"/>
    <w:rsid w:val="00451058"/>
    <w:rsid w:val="00451D40"/>
    <w:rsid w:val="00452E73"/>
    <w:rsid w:val="00453FD1"/>
    <w:rsid w:val="004541F5"/>
    <w:rsid w:val="0045423F"/>
    <w:rsid w:val="004548F6"/>
    <w:rsid w:val="0045577B"/>
    <w:rsid w:val="004564CD"/>
    <w:rsid w:val="00457BEE"/>
    <w:rsid w:val="00457EEF"/>
    <w:rsid w:val="00460B12"/>
    <w:rsid w:val="00460F9E"/>
    <w:rsid w:val="004612C3"/>
    <w:rsid w:val="00461D5E"/>
    <w:rsid w:val="004625EA"/>
    <w:rsid w:val="00462B9D"/>
    <w:rsid w:val="00462DE9"/>
    <w:rsid w:val="00462F0E"/>
    <w:rsid w:val="0046391B"/>
    <w:rsid w:val="0046552C"/>
    <w:rsid w:val="004658AA"/>
    <w:rsid w:val="00465942"/>
    <w:rsid w:val="00465D56"/>
    <w:rsid w:val="00465D8B"/>
    <w:rsid w:val="00467819"/>
    <w:rsid w:val="00470C6B"/>
    <w:rsid w:val="0047158B"/>
    <w:rsid w:val="00471669"/>
    <w:rsid w:val="004717DF"/>
    <w:rsid w:val="00472179"/>
    <w:rsid w:val="00472DF0"/>
    <w:rsid w:val="00474256"/>
    <w:rsid w:val="0047453F"/>
    <w:rsid w:val="004745B6"/>
    <w:rsid w:val="00474F77"/>
    <w:rsid w:val="0047523B"/>
    <w:rsid w:val="00475D74"/>
    <w:rsid w:val="00476801"/>
    <w:rsid w:val="00480BD1"/>
    <w:rsid w:val="00480D5F"/>
    <w:rsid w:val="00480F7B"/>
    <w:rsid w:val="004819E8"/>
    <w:rsid w:val="00481D95"/>
    <w:rsid w:val="00481FAC"/>
    <w:rsid w:val="00482026"/>
    <w:rsid w:val="004822B0"/>
    <w:rsid w:val="0048285C"/>
    <w:rsid w:val="00483973"/>
    <w:rsid w:val="00483A61"/>
    <w:rsid w:val="00483D8E"/>
    <w:rsid w:val="00484F46"/>
    <w:rsid w:val="00484F61"/>
    <w:rsid w:val="0048594B"/>
    <w:rsid w:val="00486347"/>
    <w:rsid w:val="004865E6"/>
    <w:rsid w:val="004879F4"/>
    <w:rsid w:val="00487D53"/>
    <w:rsid w:val="004905BB"/>
    <w:rsid w:val="00490983"/>
    <w:rsid w:val="00490C06"/>
    <w:rsid w:val="00491931"/>
    <w:rsid w:val="0049406B"/>
    <w:rsid w:val="004940F9"/>
    <w:rsid w:val="004944C1"/>
    <w:rsid w:val="0049581D"/>
    <w:rsid w:val="00495CB4"/>
    <w:rsid w:val="00496364"/>
    <w:rsid w:val="00497518"/>
    <w:rsid w:val="004A0441"/>
    <w:rsid w:val="004A077D"/>
    <w:rsid w:val="004A22FB"/>
    <w:rsid w:val="004A289D"/>
    <w:rsid w:val="004A2936"/>
    <w:rsid w:val="004A2C8F"/>
    <w:rsid w:val="004A2F32"/>
    <w:rsid w:val="004A37EE"/>
    <w:rsid w:val="004A3CE7"/>
    <w:rsid w:val="004A50CB"/>
    <w:rsid w:val="004A5468"/>
    <w:rsid w:val="004A5582"/>
    <w:rsid w:val="004A57B0"/>
    <w:rsid w:val="004A58A5"/>
    <w:rsid w:val="004A5B58"/>
    <w:rsid w:val="004A6425"/>
    <w:rsid w:val="004A6E15"/>
    <w:rsid w:val="004A74AD"/>
    <w:rsid w:val="004A771A"/>
    <w:rsid w:val="004B0C6E"/>
    <w:rsid w:val="004B13D8"/>
    <w:rsid w:val="004B215D"/>
    <w:rsid w:val="004B2756"/>
    <w:rsid w:val="004B2DAC"/>
    <w:rsid w:val="004B2FCF"/>
    <w:rsid w:val="004B45AF"/>
    <w:rsid w:val="004B479F"/>
    <w:rsid w:val="004B541C"/>
    <w:rsid w:val="004B5823"/>
    <w:rsid w:val="004B582B"/>
    <w:rsid w:val="004B6AA9"/>
    <w:rsid w:val="004B7C3C"/>
    <w:rsid w:val="004C028D"/>
    <w:rsid w:val="004C0B94"/>
    <w:rsid w:val="004C0CE7"/>
    <w:rsid w:val="004C0FD5"/>
    <w:rsid w:val="004C11C0"/>
    <w:rsid w:val="004C165A"/>
    <w:rsid w:val="004C185D"/>
    <w:rsid w:val="004C1EDF"/>
    <w:rsid w:val="004C2C5D"/>
    <w:rsid w:val="004C2E09"/>
    <w:rsid w:val="004C39F6"/>
    <w:rsid w:val="004C3A5C"/>
    <w:rsid w:val="004C3C04"/>
    <w:rsid w:val="004C4324"/>
    <w:rsid w:val="004C4616"/>
    <w:rsid w:val="004C48C0"/>
    <w:rsid w:val="004C5094"/>
    <w:rsid w:val="004C5566"/>
    <w:rsid w:val="004C61F4"/>
    <w:rsid w:val="004C7EF6"/>
    <w:rsid w:val="004D0B3B"/>
    <w:rsid w:val="004D0EAC"/>
    <w:rsid w:val="004D1987"/>
    <w:rsid w:val="004D24E0"/>
    <w:rsid w:val="004D2D3D"/>
    <w:rsid w:val="004D2DB5"/>
    <w:rsid w:val="004D33C5"/>
    <w:rsid w:val="004D35A6"/>
    <w:rsid w:val="004D3AD9"/>
    <w:rsid w:val="004D4242"/>
    <w:rsid w:val="004D4B07"/>
    <w:rsid w:val="004D513F"/>
    <w:rsid w:val="004D548A"/>
    <w:rsid w:val="004D5DB5"/>
    <w:rsid w:val="004D723A"/>
    <w:rsid w:val="004E0352"/>
    <w:rsid w:val="004E0C3D"/>
    <w:rsid w:val="004E0C53"/>
    <w:rsid w:val="004E0C6F"/>
    <w:rsid w:val="004E192C"/>
    <w:rsid w:val="004E261D"/>
    <w:rsid w:val="004E2C20"/>
    <w:rsid w:val="004E2EF2"/>
    <w:rsid w:val="004E34C0"/>
    <w:rsid w:val="004E36F3"/>
    <w:rsid w:val="004E3A49"/>
    <w:rsid w:val="004E3C77"/>
    <w:rsid w:val="004E44EC"/>
    <w:rsid w:val="004E48D5"/>
    <w:rsid w:val="004E57DB"/>
    <w:rsid w:val="004E586B"/>
    <w:rsid w:val="004E6476"/>
    <w:rsid w:val="004E6B4B"/>
    <w:rsid w:val="004E6B6E"/>
    <w:rsid w:val="004E6C21"/>
    <w:rsid w:val="004E6E59"/>
    <w:rsid w:val="004E7E91"/>
    <w:rsid w:val="004F0A83"/>
    <w:rsid w:val="004F175E"/>
    <w:rsid w:val="004F1A32"/>
    <w:rsid w:val="004F2814"/>
    <w:rsid w:val="004F2D62"/>
    <w:rsid w:val="004F3533"/>
    <w:rsid w:val="004F37E9"/>
    <w:rsid w:val="004F437D"/>
    <w:rsid w:val="004F492D"/>
    <w:rsid w:val="004F4E7E"/>
    <w:rsid w:val="004F5663"/>
    <w:rsid w:val="004F70FE"/>
    <w:rsid w:val="004F7141"/>
    <w:rsid w:val="005004A1"/>
    <w:rsid w:val="0050124E"/>
    <w:rsid w:val="00501C75"/>
    <w:rsid w:val="00501E45"/>
    <w:rsid w:val="005020DA"/>
    <w:rsid w:val="00503392"/>
    <w:rsid w:val="00503524"/>
    <w:rsid w:val="005036A1"/>
    <w:rsid w:val="00503AC1"/>
    <w:rsid w:val="005040B8"/>
    <w:rsid w:val="0050413D"/>
    <w:rsid w:val="00504188"/>
    <w:rsid w:val="00504263"/>
    <w:rsid w:val="00504277"/>
    <w:rsid w:val="005042FC"/>
    <w:rsid w:val="005048E6"/>
    <w:rsid w:val="00505C19"/>
    <w:rsid w:val="00506AA2"/>
    <w:rsid w:val="00506BC4"/>
    <w:rsid w:val="00507670"/>
    <w:rsid w:val="00507F45"/>
    <w:rsid w:val="00507FE8"/>
    <w:rsid w:val="00510369"/>
    <w:rsid w:val="005103F6"/>
    <w:rsid w:val="005104D5"/>
    <w:rsid w:val="0051081F"/>
    <w:rsid w:val="00510991"/>
    <w:rsid w:val="00510DCE"/>
    <w:rsid w:val="00511483"/>
    <w:rsid w:val="0051155F"/>
    <w:rsid w:val="00511579"/>
    <w:rsid w:val="0051422A"/>
    <w:rsid w:val="00514509"/>
    <w:rsid w:val="005150D2"/>
    <w:rsid w:val="0051512C"/>
    <w:rsid w:val="00515F85"/>
    <w:rsid w:val="0051654E"/>
    <w:rsid w:val="00516667"/>
    <w:rsid w:val="00516905"/>
    <w:rsid w:val="0052031A"/>
    <w:rsid w:val="005204BE"/>
    <w:rsid w:val="00521E56"/>
    <w:rsid w:val="0052499C"/>
    <w:rsid w:val="00524B26"/>
    <w:rsid w:val="0052564E"/>
    <w:rsid w:val="00525FE2"/>
    <w:rsid w:val="005260F2"/>
    <w:rsid w:val="00526B48"/>
    <w:rsid w:val="00526DAC"/>
    <w:rsid w:val="0052726F"/>
    <w:rsid w:val="005278DF"/>
    <w:rsid w:val="00527975"/>
    <w:rsid w:val="00527D75"/>
    <w:rsid w:val="00530373"/>
    <w:rsid w:val="00532948"/>
    <w:rsid w:val="0053306F"/>
    <w:rsid w:val="00533735"/>
    <w:rsid w:val="005338A8"/>
    <w:rsid w:val="00533D3F"/>
    <w:rsid w:val="005348B4"/>
    <w:rsid w:val="00535A60"/>
    <w:rsid w:val="00535DD7"/>
    <w:rsid w:val="0053616E"/>
    <w:rsid w:val="0053682A"/>
    <w:rsid w:val="005368CF"/>
    <w:rsid w:val="00536A8E"/>
    <w:rsid w:val="00536DB1"/>
    <w:rsid w:val="0053756A"/>
    <w:rsid w:val="00537C79"/>
    <w:rsid w:val="00540332"/>
    <w:rsid w:val="00540AA2"/>
    <w:rsid w:val="00541735"/>
    <w:rsid w:val="00541C1F"/>
    <w:rsid w:val="0054212F"/>
    <w:rsid w:val="0054423E"/>
    <w:rsid w:val="00545036"/>
    <w:rsid w:val="00545217"/>
    <w:rsid w:val="005455ED"/>
    <w:rsid w:val="00545711"/>
    <w:rsid w:val="0054761F"/>
    <w:rsid w:val="0054767D"/>
    <w:rsid w:val="00547823"/>
    <w:rsid w:val="005502E4"/>
    <w:rsid w:val="005505DD"/>
    <w:rsid w:val="005509F2"/>
    <w:rsid w:val="00550F9C"/>
    <w:rsid w:val="005518C0"/>
    <w:rsid w:val="00551F4E"/>
    <w:rsid w:val="00552280"/>
    <w:rsid w:val="005522C3"/>
    <w:rsid w:val="00552C4D"/>
    <w:rsid w:val="00552C74"/>
    <w:rsid w:val="005538B5"/>
    <w:rsid w:val="00553FFF"/>
    <w:rsid w:val="00555AD5"/>
    <w:rsid w:val="00555CF8"/>
    <w:rsid w:val="005561FB"/>
    <w:rsid w:val="00556A01"/>
    <w:rsid w:val="005574FC"/>
    <w:rsid w:val="00557637"/>
    <w:rsid w:val="00557A6D"/>
    <w:rsid w:val="005601E1"/>
    <w:rsid w:val="005603A8"/>
    <w:rsid w:val="0056049D"/>
    <w:rsid w:val="00561C68"/>
    <w:rsid w:val="00561F94"/>
    <w:rsid w:val="00562077"/>
    <w:rsid w:val="00562AF8"/>
    <w:rsid w:val="005633DB"/>
    <w:rsid w:val="00563A29"/>
    <w:rsid w:val="005641EA"/>
    <w:rsid w:val="00564540"/>
    <w:rsid w:val="00564C52"/>
    <w:rsid w:val="00564CD5"/>
    <w:rsid w:val="00566422"/>
    <w:rsid w:val="00566B81"/>
    <w:rsid w:val="00566F5F"/>
    <w:rsid w:val="00567E4E"/>
    <w:rsid w:val="00570676"/>
    <w:rsid w:val="00570BAC"/>
    <w:rsid w:val="00571069"/>
    <w:rsid w:val="00571504"/>
    <w:rsid w:val="005726B6"/>
    <w:rsid w:val="00572B44"/>
    <w:rsid w:val="00572F43"/>
    <w:rsid w:val="00573062"/>
    <w:rsid w:val="0057356F"/>
    <w:rsid w:val="0057427B"/>
    <w:rsid w:val="00574FBA"/>
    <w:rsid w:val="00574FC3"/>
    <w:rsid w:val="00575C45"/>
    <w:rsid w:val="00575C6E"/>
    <w:rsid w:val="00576545"/>
    <w:rsid w:val="00576F43"/>
    <w:rsid w:val="005775BE"/>
    <w:rsid w:val="00577B5D"/>
    <w:rsid w:val="00580CBB"/>
    <w:rsid w:val="00580D5C"/>
    <w:rsid w:val="0058110E"/>
    <w:rsid w:val="00581343"/>
    <w:rsid w:val="005815DD"/>
    <w:rsid w:val="00581DDD"/>
    <w:rsid w:val="00582AC8"/>
    <w:rsid w:val="00582CD5"/>
    <w:rsid w:val="005844C8"/>
    <w:rsid w:val="00584D84"/>
    <w:rsid w:val="00584EF8"/>
    <w:rsid w:val="00584F71"/>
    <w:rsid w:val="005853BE"/>
    <w:rsid w:val="0058598E"/>
    <w:rsid w:val="00586AD2"/>
    <w:rsid w:val="00587013"/>
    <w:rsid w:val="00587BFE"/>
    <w:rsid w:val="00591443"/>
    <w:rsid w:val="005919E3"/>
    <w:rsid w:val="00591AFF"/>
    <w:rsid w:val="00592C7C"/>
    <w:rsid w:val="005931DB"/>
    <w:rsid w:val="0059364F"/>
    <w:rsid w:val="0059477E"/>
    <w:rsid w:val="005953E0"/>
    <w:rsid w:val="00595417"/>
    <w:rsid w:val="00595AA8"/>
    <w:rsid w:val="005960F1"/>
    <w:rsid w:val="005966BE"/>
    <w:rsid w:val="00596C3C"/>
    <w:rsid w:val="005970B7"/>
    <w:rsid w:val="00597233"/>
    <w:rsid w:val="00597D21"/>
    <w:rsid w:val="005A0450"/>
    <w:rsid w:val="005A059E"/>
    <w:rsid w:val="005A0A82"/>
    <w:rsid w:val="005A188B"/>
    <w:rsid w:val="005A21DE"/>
    <w:rsid w:val="005A2AA9"/>
    <w:rsid w:val="005A2CE9"/>
    <w:rsid w:val="005A36E2"/>
    <w:rsid w:val="005A37B4"/>
    <w:rsid w:val="005A3C3B"/>
    <w:rsid w:val="005A3CD8"/>
    <w:rsid w:val="005A4717"/>
    <w:rsid w:val="005A48C7"/>
    <w:rsid w:val="005A5CFD"/>
    <w:rsid w:val="005A5F00"/>
    <w:rsid w:val="005A6523"/>
    <w:rsid w:val="005A664F"/>
    <w:rsid w:val="005A6B0C"/>
    <w:rsid w:val="005A6D79"/>
    <w:rsid w:val="005A7D95"/>
    <w:rsid w:val="005B0132"/>
    <w:rsid w:val="005B025D"/>
    <w:rsid w:val="005B0371"/>
    <w:rsid w:val="005B2007"/>
    <w:rsid w:val="005B2823"/>
    <w:rsid w:val="005B3E56"/>
    <w:rsid w:val="005B594E"/>
    <w:rsid w:val="005B5D22"/>
    <w:rsid w:val="005B5DD3"/>
    <w:rsid w:val="005B62AD"/>
    <w:rsid w:val="005B6EFF"/>
    <w:rsid w:val="005B76F2"/>
    <w:rsid w:val="005C0051"/>
    <w:rsid w:val="005C0292"/>
    <w:rsid w:val="005C0C1C"/>
    <w:rsid w:val="005C154B"/>
    <w:rsid w:val="005C15B0"/>
    <w:rsid w:val="005C263D"/>
    <w:rsid w:val="005C2A2F"/>
    <w:rsid w:val="005C2A33"/>
    <w:rsid w:val="005C2B5B"/>
    <w:rsid w:val="005C2D59"/>
    <w:rsid w:val="005C34BF"/>
    <w:rsid w:val="005C38D4"/>
    <w:rsid w:val="005C4058"/>
    <w:rsid w:val="005C4246"/>
    <w:rsid w:val="005C4700"/>
    <w:rsid w:val="005C4C73"/>
    <w:rsid w:val="005C58E9"/>
    <w:rsid w:val="005C62A4"/>
    <w:rsid w:val="005C6798"/>
    <w:rsid w:val="005C6A39"/>
    <w:rsid w:val="005C7071"/>
    <w:rsid w:val="005C7880"/>
    <w:rsid w:val="005C7D9C"/>
    <w:rsid w:val="005C7E8D"/>
    <w:rsid w:val="005C7FEA"/>
    <w:rsid w:val="005D022E"/>
    <w:rsid w:val="005D033A"/>
    <w:rsid w:val="005D0B61"/>
    <w:rsid w:val="005D14F8"/>
    <w:rsid w:val="005D1901"/>
    <w:rsid w:val="005D290F"/>
    <w:rsid w:val="005D3432"/>
    <w:rsid w:val="005D3728"/>
    <w:rsid w:val="005D46EB"/>
    <w:rsid w:val="005D52D5"/>
    <w:rsid w:val="005D5591"/>
    <w:rsid w:val="005D5661"/>
    <w:rsid w:val="005D5A1F"/>
    <w:rsid w:val="005D6386"/>
    <w:rsid w:val="005D6FE6"/>
    <w:rsid w:val="005D7714"/>
    <w:rsid w:val="005E08ED"/>
    <w:rsid w:val="005E13FF"/>
    <w:rsid w:val="005E14E2"/>
    <w:rsid w:val="005E1850"/>
    <w:rsid w:val="005E276B"/>
    <w:rsid w:val="005E375E"/>
    <w:rsid w:val="005E3B92"/>
    <w:rsid w:val="005E3FC3"/>
    <w:rsid w:val="005E4A8A"/>
    <w:rsid w:val="005E4E51"/>
    <w:rsid w:val="005E4F64"/>
    <w:rsid w:val="005E534D"/>
    <w:rsid w:val="005E6359"/>
    <w:rsid w:val="005E6370"/>
    <w:rsid w:val="005E7F00"/>
    <w:rsid w:val="005F0AF1"/>
    <w:rsid w:val="005F0FA4"/>
    <w:rsid w:val="005F13C4"/>
    <w:rsid w:val="005F19F2"/>
    <w:rsid w:val="005F1AAD"/>
    <w:rsid w:val="005F1C67"/>
    <w:rsid w:val="005F1CFC"/>
    <w:rsid w:val="005F2D60"/>
    <w:rsid w:val="005F3056"/>
    <w:rsid w:val="005F38F6"/>
    <w:rsid w:val="005F390F"/>
    <w:rsid w:val="005F4386"/>
    <w:rsid w:val="005F4EA3"/>
    <w:rsid w:val="005F58BE"/>
    <w:rsid w:val="005F5C31"/>
    <w:rsid w:val="005F6E81"/>
    <w:rsid w:val="005F725D"/>
    <w:rsid w:val="005F7899"/>
    <w:rsid w:val="005F7F3E"/>
    <w:rsid w:val="00600449"/>
    <w:rsid w:val="00600693"/>
    <w:rsid w:val="006017D6"/>
    <w:rsid w:val="00601D6B"/>
    <w:rsid w:val="00602425"/>
    <w:rsid w:val="00602500"/>
    <w:rsid w:val="00602A83"/>
    <w:rsid w:val="0060343A"/>
    <w:rsid w:val="00603F44"/>
    <w:rsid w:val="006045DF"/>
    <w:rsid w:val="00604F67"/>
    <w:rsid w:val="006050F2"/>
    <w:rsid w:val="006051D0"/>
    <w:rsid w:val="00605202"/>
    <w:rsid w:val="0060538E"/>
    <w:rsid w:val="00605495"/>
    <w:rsid w:val="00605CF1"/>
    <w:rsid w:val="00606484"/>
    <w:rsid w:val="00606717"/>
    <w:rsid w:val="00611775"/>
    <w:rsid w:val="00611E70"/>
    <w:rsid w:val="0061204B"/>
    <w:rsid w:val="0061286A"/>
    <w:rsid w:val="00613BD4"/>
    <w:rsid w:val="00613F68"/>
    <w:rsid w:val="006141CD"/>
    <w:rsid w:val="0061446F"/>
    <w:rsid w:val="00614ECC"/>
    <w:rsid w:val="0061513E"/>
    <w:rsid w:val="0061514F"/>
    <w:rsid w:val="0061542B"/>
    <w:rsid w:val="0061586F"/>
    <w:rsid w:val="00615AB7"/>
    <w:rsid w:val="006160D7"/>
    <w:rsid w:val="00616DE2"/>
    <w:rsid w:val="006178F4"/>
    <w:rsid w:val="00620303"/>
    <w:rsid w:val="00620319"/>
    <w:rsid w:val="0062086D"/>
    <w:rsid w:val="00621619"/>
    <w:rsid w:val="00621CAE"/>
    <w:rsid w:val="00621DC4"/>
    <w:rsid w:val="0062205B"/>
    <w:rsid w:val="006220A1"/>
    <w:rsid w:val="00622B6A"/>
    <w:rsid w:val="006230D2"/>
    <w:rsid w:val="00624736"/>
    <w:rsid w:val="00624B20"/>
    <w:rsid w:val="00625933"/>
    <w:rsid w:val="006274D6"/>
    <w:rsid w:val="00627869"/>
    <w:rsid w:val="00630718"/>
    <w:rsid w:val="00630B41"/>
    <w:rsid w:val="00632287"/>
    <w:rsid w:val="0063249D"/>
    <w:rsid w:val="00632521"/>
    <w:rsid w:val="00632695"/>
    <w:rsid w:val="00633E83"/>
    <w:rsid w:val="0063533F"/>
    <w:rsid w:val="0063563E"/>
    <w:rsid w:val="00635A29"/>
    <w:rsid w:val="00636749"/>
    <w:rsid w:val="006401ED"/>
    <w:rsid w:val="00640807"/>
    <w:rsid w:val="00640D43"/>
    <w:rsid w:val="00640D91"/>
    <w:rsid w:val="0064368D"/>
    <w:rsid w:val="00643B34"/>
    <w:rsid w:val="00643B46"/>
    <w:rsid w:val="00643EE6"/>
    <w:rsid w:val="006443E4"/>
    <w:rsid w:val="0064486C"/>
    <w:rsid w:val="0064521A"/>
    <w:rsid w:val="00646482"/>
    <w:rsid w:val="006466D6"/>
    <w:rsid w:val="00647666"/>
    <w:rsid w:val="0064784E"/>
    <w:rsid w:val="00647AE9"/>
    <w:rsid w:val="00650377"/>
    <w:rsid w:val="00650F09"/>
    <w:rsid w:val="00652A1C"/>
    <w:rsid w:val="006533A3"/>
    <w:rsid w:val="0065351C"/>
    <w:rsid w:val="0065406B"/>
    <w:rsid w:val="00654163"/>
    <w:rsid w:val="0065575F"/>
    <w:rsid w:val="00655956"/>
    <w:rsid w:val="00656D69"/>
    <w:rsid w:val="00656E27"/>
    <w:rsid w:val="00657B3D"/>
    <w:rsid w:val="00657BB6"/>
    <w:rsid w:val="00660324"/>
    <w:rsid w:val="00660538"/>
    <w:rsid w:val="00660B30"/>
    <w:rsid w:val="00661C33"/>
    <w:rsid w:val="00661C71"/>
    <w:rsid w:val="00663238"/>
    <w:rsid w:val="006633B0"/>
    <w:rsid w:val="00665302"/>
    <w:rsid w:val="006654BD"/>
    <w:rsid w:val="00666A09"/>
    <w:rsid w:val="00666CD4"/>
    <w:rsid w:val="0066763A"/>
    <w:rsid w:val="006678BD"/>
    <w:rsid w:val="00667BC6"/>
    <w:rsid w:val="00670565"/>
    <w:rsid w:val="00670C55"/>
    <w:rsid w:val="00670E0F"/>
    <w:rsid w:val="006710BC"/>
    <w:rsid w:val="006720B5"/>
    <w:rsid w:val="006720BC"/>
    <w:rsid w:val="006722AC"/>
    <w:rsid w:val="00672CE2"/>
    <w:rsid w:val="006736D3"/>
    <w:rsid w:val="00673A64"/>
    <w:rsid w:val="00676721"/>
    <w:rsid w:val="006769DD"/>
    <w:rsid w:val="00676A7F"/>
    <w:rsid w:val="0067752F"/>
    <w:rsid w:val="006779F6"/>
    <w:rsid w:val="0068004B"/>
    <w:rsid w:val="006805FB"/>
    <w:rsid w:val="006810B5"/>
    <w:rsid w:val="00681A8D"/>
    <w:rsid w:val="00681B68"/>
    <w:rsid w:val="006822AE"/>
    <w:rsid w:val="00682757"/>
    <w:rsid w:val="00682F34"/>
    <w:rsid w:val="0068423A"/>
    <w:rsid w:val="00684E9F"/>
    <w:rsid w:val="00685329"/>
    <w:rsid w:val="00685E0D"/>
    <w:rsid w:val="006864B5"/>
    <w:rsid w:val="006868A1"/>
    <w:rsid w:val="00687E47"/>
    <w:rsid w:val="00687E7D"/>
    <w:rsid w:val="00690A30"/>
    <w:rsid w:val="006915A8"/>
    <w:rsid w:val="00691AF4"/>
    <w:rsid w:val="00691E79"/>
    <w:rsid w:val="006921EA"/>
    <w:rsid w:val="0069291B"/>
    <w:rsid w:val="00692BBC"/>
    <w:rsid w:val="006930B5"/>
    <w:rsid w:val="006948D1"/>
    <w:rsid w:val="006948D3"/>
    <w:rsid w:val="00695C6C"/>
    <w:rsid w:val="00695F21"/>
    <w:rsid w:val="006963A9"/>
    <w:rsid w:val="00697C58"/>
    <w:rsid w:val="00697CB6"/>
    <w:rsid w:val="006A08D9"/>
    <w:rsid w:val="006A3482"/>
    <w:rsid w:val="006A3653"/>
    <w:rsid w:val="006A3BFF"/>
    <w:rsid w:val="006A4E48"/>
    <w:rsid w:val="006A578F"/>
    <w:rsid w:val="006A755F"/>
    <w:rsid w:val="006B0B23"/>
    <w:rsid w:val="006B0D88"/>
    <w:rsid w:val="006B0F2D"/>
    <w:rsid w:val="006B17A4"/>
    <w:rsid w:val="006B1A57"/>
    <w:rsid w:val="006B4449"/>
    <w:rsid w:val="006B4D3A"/>
    <w:rsid w:val="006B5001"/>
    <w:rsid w:val="006B5116"/>
    <w:rsid w:val="006B5DDB"/>
    <w:rsid w:val="006B6843"/>
    <w:rsid w:val="006B6CF8"/>
    <w:rsid w:val="006B6EB4"/>
    <w:rsid w:val="006B703E"/>
    <w:rsid w:val="006B736A"/>
    <w:rsid w:val="006B7390"/>
    <w:rsid w:val="006B7FED"/>
    <w:rsid w:val="006C03C3"/>
    <w:rsid w:val="006C145F"/>
    <w:rsid w:val="006C1B7E"/>
    <w:rsid w:val="006C24C5"/>
    <w:rsid w:val="006C3681"/>
    <w:rsid w:val="006C388A"/>
    <w:rsid w:val="006C3D8B"/>
    <w:rsid w:val="006C41F8"/>
    <w:rsid w:val="006C4328"/>
    <w:rsid w:val="006C48A0"/>
    <w:rsid w:val="006C5057"/>
    <w:rsid w:val="006C7480"/>
    <w:rsid w:val="006C78A7"/>
    <w:rsid w:val="006C7C7E"/>
    <w:rsid w:val="006D00EB"/>
    <w:rsid w:val="006D0446"/>
    <w:rsid w:val="006D0BBC"/>
    <w:rsid w:val="006D1638"/>
    <w:rsid w:val="006D1969"/>
    <w:rsid w:val="006D2271"/>
    <w:rsid w:val="006D2B25"/>
    <w:rsid w:val="006D2F01"/>
    <w:rsid w:val="006D2FA8"/>
    <w:rsid w:val="006D30D1"/>
    <w:rsid w:val="006D33F3"/>
    <w:rsid w:val="006D408D"/>
    <w:rsid w:val="006D41B0"/>
    <w:rsid w:val="006D48DE"/>
    <w:rsid w:val="006D49F7"/>
    <w:rsid w:val="006D596E"/>
    <w:rsid w:val="006D5CB1"/>
    <w:rsid w:val="006D5F83"/>
    <w:rsid w:val="006D64AC"/>
    <w:rsid w:val="006D6CF3"/>
    <w:rsid w:val="006D6E23"/>
    <w:rsid w:val="006D7141"/>
    <w:rsid w:val="006D74F0"/>
    <w:rsid w:val="006D75D2"/>
    <w:rsid w:val="006D7D8F"/>
    <w:rsid w:val="006E05E4"/>
    <w:rsid w:val="006E13BB"/>
    <w:rsid w:val="006E18B1"/>
    <w:rsid w:val="006E22C0"/>
    <w:rsid w:val="006E28F1"/>
    <w:rsid w:val="006E306C"/>
    <w:rsid w:val="006E4DFE"/>
    <w:rsid w:val="006E52EA"/>
    <w:rsid w:val="006E5A9B"/>
    <w:rsid w:val="006E60D4"/>
    <w:rsid w:val="006E6FF1"/>
    <w:rsid w:val="006E765B"/>
    <w:rsid w:val="006E782E"/>
    <w:rsid w:val="006E790C"/>
    <w:rsid w:val="006F1ABB"/>
    <w:rsid w:val="006F23E6"/>
    <w:rsid w:val="006F25D4"/>
    <w:rsid w:val="006F2B07"/>
    <w:rsid w:val="006F478F"/>
    <w:rsid w:val="006F56D0"/>
    <w:rsid w:val="006F7CB3"/>
    <w:rsid w:val="006F7E8A"/>
    <w:rsid w:val="00700335"/>
    <w:rsid w:val="00700446"/>
    <w:rsid w:val="007005C5"/>
    <w:rsid w:val="00700B1A"/>
    <w:rsid w:val="007018DD"/>
    <w:rsid w:val="00701B4A"/>
    <w:rsid w:val="007021A4"/>
    <w:rsid w:val="00702662"/>
    <w:rsid w:val="00702A51"/>
    <w:rsid w:val="00703A3A"/>
    <w:rsid w:val="00703AE1"/>
    <w:rsid w:val="00703D74"/>
    <w:rsid w:val="00703DF5"/>
    <w:rsid w:val="007046DF"/>
    <w:rsid w:val="00704812"/>
    <w:rsid w:val="00704DF0"/>
    <w:rsid w:val="00704ECF"/>
    <w:rsid w:val="00705AD6"/>
    <w:rsid w:val="00705E93"/>
    <w:rsid w:val="00706129"/>
    <w:rsid w:val="0070613C"/>
    <w:rsid w:val="007063A2"/>
    <w:rsid w:val="0070684A"/>
    <w:rsid w:val="00707234"/>
    <w:rsid w:val="00707C10"/>
    <w:rsid w:val="0071052F"/>
    <w:rsid w:val="00710DB2"/>
    <w:rsid w:val="00710FA1"/>
    <w:rsid w:val="00711151"/>
    <w:rsid w:val="0071115C"/>
    <w:rsid w:val="00711C95"/>
    <w:rsid w:val="00711F45"/>
    <w:rsid w:val="00711F72"/>
    <w:rsid w:val="00713E05"/>
    <w:rsid w:val="00714248"/>
    <w:rsid w:val="00714BDC"/>
    <w:rsid w:val="00714D01"/>
    <w:rsid w:val="00717D7A"/>
    <w:rsid w:val="007211EA"/>
    <w:rsid w:val="007211F0"/>
    <w:rsid w:val="0072218A"/>
    <w:rsid w:val="00722CFE"/>
    <w:rsid w:val="00723210"/>
    <w:rsid w:val="00723B26"/>
    <w:rsid w:val="00723F38"/>
    <w:rsid w:val="00724559"/>
    <w:rsid w:val="00725B33"/>
    <w:rsid w:val="00726153"/>
    <w:rsid w:val="00727295"/>
    <w:rsid w:val="00727E2E"/>
    <w:rsid w:val="00727E58"/>
    <w:rsid w:val="00730718"/>
    <w:rsid w:val="00730C6D"/>
    <w:rsid w:val="007311C2"/>
    <w:rsid w:val="007311E2"/>
    <w:rsid w:val="00731BAF"/>
    <w:rsid w:val="00731EC6"/>
    <w:rsid w:val="00732A02"/>
    <w:rsid w:val="00733265"/>
    <w:rsid w:val="00733449"/>
    <w:rsid w:val="0073393D"/>
    <w:rsid w:val="00733951"/>
    <w:rsid w:val="00734430"/>
    <w:rsid w:val="00734A00"/>
    <w:rsid w:val="007353E5"/>
    <w:rsid w:val="00735468"/>
    <w:rsid w:val="00735884"/>
    <w:rsid w:val="00736FF3"/>
    <w:rsid w:val="007370AA"/>
    <w:rsid w:val="0074043E"/>
    <w:rsid w:val="00740D6A"/>
    <w:rsid w:val="00740DA5"/>
    <w:rsid w:val="00742451"/>
    <w:rsid w:val="00742F91"/>
    <w:rsid w:val="00743AD4"/>
    <w:rsid w:val="00744110"/>
    <w:rsid w:val="00744B52"/>
    <w:rsid w:val="00745626"/>
    <w:rsid w:val="0074663A"/>
    <w:rsid w:val="00746690"/>
    <w:rsid w:val="00747E64"/>
    <w:rsid w:val="007515F1"/>
    <w:rsid w:val="00751607"/>
    <w:rsid w:val="00751714"/>
    <w:rsid w:val="00752496"/>
    <w:rsid w:val="00753441"/>
    <w:rsid w:val="00753FF5"/>
    <w:rsid w:val="00754C02"/>
    <w:rsid w:val="0075510F"/>
    <w:rsid w:val="00755FC7"/>
    <w:rsid w:val="007560D8"/>
    <w:rsid w:val="0075610F"/>
    <w:rsid w:val="00756152"/>
    <w:rsid w:val="007571AF"/>
    <w:rsid w:val="00757717"/>
    <w:rsid w:val="0075771C"/>
    <w:rsid w:val="00757B64"/>
    <w:rsid w:val="00760640"/>
    <w:rsid w:val="007607CD"/>
    <w:rsid w:val="00761AA6"/>
    <w:rsid w:val="00762824"/>
    <w:rsid w:val="007629D9"/>
    <w:rsid w:val="0076423F"/>
    <w:rsid w:val="00764346"/>
    <w:rsid w:val="00764770"/>
    <w:rsid w:val="00764994"/>
    <w:rsid w:val="00765682"/>
    <w:rsid w:val="00765704"/>
    <w:rsid w:val="0076645A"/>
    <w:rsid w:val="00766498"/>
    <w:rsid w:val="00766696"/>
    <w:rsid w:val="007672D6"/>
    <w:rsid w:val="0076744B"/>
    <w:rsid w:val="007678C6"/>
    <w:rsid w:val="00767CFB"/>
    <w:rsid w:val="00767FEF"/>
    <w:rsid w:val="00770188"/>
    <w:rsid w:val="007704E8"/>
    <w:rsid w:val="00770823"/>
    <w:rsid w:val="007710A6"/>
    <w:rsid w:val="00771EA8"/>
    <w:rsid w:val="0077205F"/>
    <w:rsid w:val="007720D6"/>
    <w:rsid w:val="00772336"/>
    <w:rsid w:val="00772F38"/>
    <w:rsid w:val="00773460"/>
    <w:rsid w:val="00773B74"/>
    <w:rsid w:val="00773CB8"/>
    <w:rsid w:val="007741C8"/>
    <w:rsid w:val="0077430B"/>
    <w:rsid w:val="007743B2"/>
    <w:rsid w:val="0077486C"/>
    <w:rsid w:val="007757AA"/>
    <w:rsid w:val="00776275"/>
    <w:rsid w:val="00776D43"/>
    <w:rsid w:val="00776F4F"/>
    <w:rsid w:val="00777ADC"/>
    <w:rsid w:val="007801BF"/>
    <w:rsid w:val="00780948"/>
    <w:rsid w:val="007809F1"/>
    <w:rsid w:val="00780B54"/>
    <w:rsid w:val="00780C27"/>
    <w:rsid w:val="007818AE"/>
    <w:rsid w:val="00781AFF"/>
    <w:rsid w:val="00781B0B"/>
    <w:rsid w:val="007823FE"/>
    <w:rsid w:val="007825C9"/>
    <w:rsid w:val="00782FD1"/>
    <w:rsid w:val="00783175"/>
    <w:rsid w:val="00783176"/>
    <w:rsid w:val="00783408"/>
    <w:rsid w:val="0078377B"/>
    <w:rsid w:val="00783BE8"/>
    <w:rsid w:val="00784CCE"/>
    <w:rsid w:val="00785B6B"/>
    <w:rsid w:val="00785C2A"/>
    <w:rsid w:val="00785D87"/>
    <w:rsid w:val="00785DF6"/>
    <w:rsid w:val="00786045"/>
    <w:rsid w:val="007873E2"/>
    <w:rsid w:val="00790025"/>
    <w:rsid w:val="0079068E"/>
    <w:rsid w:val="0079070F"/>
    <w:rsid w:val="007909DD"/>
    <w:rsid w:val="007935F4"/>
    <w:rsid w:val="0079439A"/>
    <w:rsid w:val="00794937"/>
    <w:rsid w:val="00796854"/>
    <w:rsid w:val="00797A36"/>
    <w:rsid w:val="007A100F"/>
    <w:rsid w:val="007A1688"/>
    <w:rsid w:val="007A184D"/>
    <w:rsid w:val="007A1C72"/>
    <w:rsid w:val="007A202A"/>
    <w:rsid w:val="007A214F"/>
    <w:rsid w:val="007A2153"/>
    <w:rsid w:val="007A2469"/>
    <w:rsid w:val="007A3055"/>
    <w:rsid w:val="007A3561"/>
    <w:rsid w:val="007A366C"/>
    <w:rsid w:val="007A3695"/>
    <w:rsid w:val="007A468A"/>
    <w:rsid w:val="007A56CB"/>
    <w:rsid w:val="007A5B94"/>
    <w:rsid w:val="007A5D9F"/>
    <w:rsid w:val="007A67C2"/>
    <w:rsid w:val="007A7015"/>
    <w:rsid w:val="007A78A2"/>
    <w:rsid w:val="007B0AAC"/>
    <w:rsid w:val="007B128E"/>
    <w:rsid w:val="007B148E"/>
    <w:rsid w:val="007B16C3"/>
    <w:rsid w:val="007B1D10"/>
    <w:rsid w:val="007B25B6"/>
    <w:rsid w:val="007B2EC7"/>
    <w:rsid w:val="007B31D6"/>
    <w:rsid w:val="007B32AE"/>
    <w:rsid w:val="007B334E"/>
    <w:rsid w:val="007B40B8"/>
    <w:rsid w:val="007B4111"/>
    <w:rsid w:val="007B51D9"/>
    <w:rsid w:val="007B52EE"/>
    <w:rsid w:val="007B545D"/>
    <w:rsid w:val="007B5E09"/>
    <w:rsid w:val="007B5E20"/>
    <w:rsid w:val="007B63DF"/>
    <w:rsid w:val="007B65D9"/>
    <w:rsid w:val="007B71CD"/>
    <w:rsid w:val="007B71FE"/>
    <w:rsid w:val="007B7F62"/>
    <w:rsid w:val="007C031D"/>
    <w:rsid w:val="007C150E"/>
    <w:rsid w:val="007C15E4"/>
    <w:rsid w:val="007C1F5C"/>
    <w:rsid w:val="007C2067"/>
    <w:rsid w:val="007C232A"/>
    <w:rsid w:val="007C3978"/>
    <w:rsid w:val="007C3E55"/>
    <w:rsid w:val="007C46B2"/>
    <w:rsid w:val="007C4F20"/>
    <w:rsid w:val="007C55EA"/>
    <w:rsid w:val="007C5F43"/>
    <w:rsid w:val="007C63EF"/>
    <w:rsid w:val="007C6AEB"/>
    <w:rsid w:val="007C70FF"/>
    <w:rsid w:val="007C7B13"/>
    <w:rsid w:val="007D056C"/>
    <w:rsid w:val="007D13B0"/>
    <w:rsid w:val="007D15A2"/>
    <w:rsid w:val="007D1E35"/>
    <w:rsid w:val="007D25E4"/>
    <w:rsid w:val="007D29B8"/>
    <w:rsid w:val="007D3329"/>
    <w:rsid w:val="007D3901"/>
    <w:rsid w:val="007D3C06"/>
    <w:rsid w:val="007D4045"/>
    <w:rsid w:val="007D44A3"/>
    <w:rsid w:val="007D4896"/>
    <w:rsid w:val="007D576C"/>
    <w:rsid w:val="007D6456"/>
    <w:rsid w:val="007D7892"/>
    <w:rsid w:val="007D7EF0"/>
    <w:rsid w:val="007E09B5"/>
    <w:rsid w:val="007E1558"/>
    <w:rsid w:val="007E38C8"/>
    <w:rsid w:val="007E38D4"/>
    <w:rsid w:val="007E3E19"/>
    <w:rsid w:val="007E41EB"/>
    <w:rsid w:val="007E44EC"/>
    <w:rsid w:val="007E4E9F"/>
    <w:rsid w:val="007E697D"/>
    <w:rsid w:val="007E6DD7"/>
    <w:rsid w:val="007E7116"/>
    <w:rsid w:val="007F0D96"/>
    <w:rsid w:val="007F1300"/>
    <w:rsid w:val="007F15B8"/>
    <w:rsid w:val="007F1CC5"/>
    <w:rsid w:val="007F27A8"/>
    <w:rsid w:val="007F2810"/>
    <w:rsid w:val="007F2C43"/>
    <w:rsid w:val="007F4786"/>
    <w:rsid w:val="007F56E1"/>
    <w:rsid w:val="007F5A72"/>
    <w:rsid w:val="007F5AAF"/>
    <w:rsid w:val="007F614C"/>
    <w:rsid w:val="007F6159"/>
    <w:rsid w:val="007F6396"/>
    <w:rsid w:val="007F65D6"/>
    <w:rsid w:val="007F6780"/>
    <w:rsid w:val="007F6798"/>
    <w:rsid w:val="007F7379"/>
    <w:rsid w:val="00800F86"/>
    <w:rsid w:val="00801129"/>
    <w:rsid w:val="008024E1"/>
    <w:rsid w:val="008026E9"/>
    <w:rsid w:val="008033FB"/>
    <w:rsid w:val="00804829"/>
    <w:rsid w:val="0080496C"/>
    <w:rsid w:val="0080502A"/>
    <w:rsid w:val="00805811"/>
    <w:rsid w:val="008060CA"/>
    <w:rsid w:val="00806ECD"/>
    <w:rsid w:val="00807473"/>
    <w:rsid w:val="00807B94"/>
    <w:rsid w:val="008101DA"/>
    <w:rsid w:val="00810FE0"/>
    <w:rsid w:val="0081126F"/>
    <w:rsid w:val="008115F5"/>
    <w:rsid w:val="00811B54"/>
    <w:rsid w:val="00812345"/>
    <w:rsid w:val="008125BF"/>
    <w:rsid w:val="008134A0"/>
    <w:rsid w:val="008136D9"/>
    <w:rsid w:val="008136DF"/>
    <w:rsid w:val="00813A5F"/>
    <w:rsid w:val="008142AE"/>
    <w:rsid w:val="0081564A"/>
    <w:rsid w:val="00815652"/>
    <w:rsid w:val="008157BA"/>
    <w:rsid w:val="00815880"/>
    <w:rsid w:val="0081593C"/>
    <w:rsid w:val="00815A06"/>
    <w:rsid w:val="00816761"/>
    <w:rsid w:val="00816A8E"/>
    <w:rsid w:val="00817363"/>
    <w:rsid w:val="0082033C"/>
    <w:rsid w:val="00820D25"/>
    <w:rsid w:val="00821D72"/>
    <w:rsid w:val="00821FE1"/>
    <w:rsid w:val="00822A80"/>
    <w:rsid w:val="00822DB4"/>
    <w:rsid w:val="00822EFE"/>
    <w:rsid w:val="00823254"/>
    <w:rsid w:val="00823C40"/>
    <w:rsid w:val="00824411"/>
    <w:rsid w:val="008248F4"/>
    <w:rsid w:val="0082540D"/>
    <w:rsid w:val="008256F2"/>
    <w:rsid w:val="00825952"/>
    <w:rsid w:val="008265D2"/>
    <w:rsid w:val="0082702C"/>
    <w:rsid w:val="008276FA"/>
    <w:rsid w:val="0082795E"/>
    <w:rsid w:val="00831D69"/>
    <w:rsid w:val="00831E39"/>
    <w:rsid w:val="00832883"/>
    <w:rsid w:val="0083364F"/>
    <w:rsid w:val="00833688"/>
    <w:rsid w:val="00833AB5"/>
    <w:rsid w:val="0083499D"/>
    <w:rsid w:val="008354F3"/>
    <w:rsid w:val="0083564C"/>
    <w:rsid w:val="0083593A"/>
    <w:rsid w:val="00836137"/>
    <w:rsid w:val="00836697"/>
    <w:rsid w:val="00836704"/>
    <w:rsid w:val="00837B6A"/>
    <w:rsid w:val="00840814"/>
    <w:rsid w:val="008412D2"/>
    <w:rsid w:val="00841CD4"/>
    <w:rsid w:val="00842705"/>
    <w:rsid w:val="00842D93"/>
    <w:rsid w:val="00843182"/>
    <w:rsid w:val="008431E1"/>
    <w:rsid w:val="00843DE3"/>
    <w:rsid w:val="0084413B"/>
    <w:rsid w:val="008441B5"/>
    <w:rsid w:val="008442F7"/>
    <w:rsid w:val="00844850"/>
    <w:rsid w:val="00845CF7"/>
    <w:rsid w:val="00845E99"/>
    <w:rsid w:val="008462DA"/>
    <w:rsid w:val="008475B8"/>
    <w:rsid w:val="00847941"/>
    <w:rsid w:val="008479AC"/>
    <w:rsid w:val="0085003C"/>
    <w:rsid w:val="00850417"/>
    <w:rsid w:val="00850491"/>
    <w:rsid w:val="00850A7A"/>
    <w:rsid w:val="008520C0"/>
    <w:rsid w:val="0085276D"/>
    <w:rsid w:val="00852AF3"/>
    <w:rsid w:val="00854ABE"/>
    <w:rsid w:val="00854BB9"/>
    <w:rsid w:val="008553D0"/>
    <w:rsid w:val="00856908"/>
    <w:rsid w:val="00860D6F"/>
    <w:rsid w:val="008612E9"/>
    <w:rsid w:val="008614E0"/>
    <w:rsid w:val="00861C48"/>
    <w:rsid w:val="00861CBB"/>
    <w:rsid w:val="008634C4"/>
    <w:rsid w:val="00864060"/>
    <w:rsid w:val="00864BA0"/>
    <w:rsid w:val="008666E6"/>
    <w:rsid w:val="00866B71"/>
    <w:rsid w:val="008679BC"/>
    <w:rsid w:val="00867DC3"/>
    <w:rsid w:val="00867E3C"/>
    <w:rsid w:val="00867E55"/>
    <w:rsid w:val="00872141"/>
    <w:rsid w:val="00872280"/>
    <w:rsid w:val="00872311"/>
    <w:rsid w:val="0087264C"/>
    <w:rsid w:val="008735C1"/>
    <w:rsid w:val="00873A3C"/>
    <w:rsid w:val="008745EE"/>
    <w:rsid w:val="00874823"/>
    <w:rsid w:val="00875688"/>
    <w:rsid w:val="008758DE"/>
    <w:rsid w:val="0087693C"/>
    <w:rsid w:val="00876950"/>
    <w:rsid w:val="00876A89"/>
    <w:rsid w:val="0087787C"/>
    <w:rsid w:val="00877EBA"/>
    <w:rsid w:val="00880D9E"/>
    <w:rsid w:val="00881220"/>
    <w:rsid w:val="008827E5"/>
    <w:rsid w:val="00883724"/>
    <w:rsid w:val="008839C5"/>
    <w:rsid w:val="0088442A"/>
    <w:rsid w:val="008850DA"/>
    <w:rsid w:val="0088535A"/>
    <w:rsid w:val="00886A4D"/>
    <w:rsid w:val="00887B37"/>
    <w:rsid w:val="00887B6D"/>
    <w:rsid w:val="00887F0A"/>
    <w:rsid w:val="0089011A"/>
    <w:rsid w:val="008903D2"/>
    <w:rsid w:val="00890811"/>
    <w:rsid w:val="008910E1"/>
    <w:rsid w:val="008916B0"/>
    <w:rsid w:val="008916EB"/>
    <w:rsid w:val="0089272E"/>
    <w:rsid w:val="00894D4B"/>
    <w:rsid w:val="00895184"/>
    <w:rsid w:val="00895A67"/>
    <w:rsid w:val="008972AB"/>
    <w:rsid w:val="0089765D"/>
    <w:rsid w:val="008A036C"/>
    <w:rsid w:val="008A0460"/>
    <w:rsid w:val="008A1428"/>
    <w:rsid w:val="008A158C"/>
    <w:rsid w:val="008A1F0D"/>
    <w:rsid w:val="008A3D4C"/>
    <w:rsid w:val="008A3D54"/>
    <w:rsid w:val="008A41FB"/>
    <w:rsid w:val="008A5076"/>
    <w:rsid w:val="008A50DE"/>
    <w:rsid w:val="008A590E"/>
    <w:rsid w:val="008A5DB6"/>
    <w:rsid w:val="008A6C2A"/>
    <w:rsid w:val="008A6D24"/>
    <w:rsid w:val="008A6DAE"/>
    <w:rsid w:val="008A7494"/>
    <w:rsid w:val="008A7563"/>
    <w:rsid w:val="008B0216"/>
    <w:rsid w:val="008B0257"/>
    <w:rsid w:val="008B08F5"/>
    <w:rsid w:val="008B0CC1"/>
    <w:rsid w:val="008B13CB"/>
    <w:rsid w:val="008B2305"/>
    <w:rsid w:val="008B2CDB"/>
    <w:rsid w:val="008B3184"/>
    <w:rsid w:val="008B4178"/>
    <w:rsid w:val="008B426B"/>
    <w:rsid w:val="008B4791"/>
    <w:rsid w:val="008B4E07"/>
    <w:rsid w:val="008B5965"/>
    <w:rsid w:val="008B5D83"/>
    <w:rsid w:val="008B613E"/>
    <w:rsid w:val="008B7873"/>
    <w:rsid w:val="008B7BFD"/>
    <w:rsid w:val="008B7D2A"/>
    <w:rsid w:val="008C0413"/>
    <w:rsid w:val="008C0614"/>
    <w:rsid w:val="008C0DCF"/>
    <w:rsid w:val="008C1B47"/>
    <w:rsid w:val="008C2108"/>
    <w:rsid w:val="008C2951"/>
    <w:rsid w:val="008C3EFE"/>
    <w:rsid w:val="008C3FD1"/>
    <w:rsid w:val="008C4551"/>
    <w:rsid w:val="008C4AB7"/>
    <w:rsid w:val="008C5112"/>
    <w:rsid w:val="008C5CB5"/>
    <w:rsid w:val="008C5FDD"/>
    <w:rsid w:val="008C68DB"/>
    <w:rsid w:val="008C6EA2"/>
    <w:rsid w:val="008C6EC2"/>
    <w:rsid w:val="008C7188"/>
    <w:rsid w:val="008C7515"/>
    <w:rsid w:val="008D0255"/>
    <w:rsid w:val="008D0A0C"/>
    <w:rsid w:val="008D1109"/>
    <w:rsid w:val="008D2101"/>
    <w:rsid w:val="008D21F5"/>
    <w:rsid w:val="008D244A"/>
    <w:rsid w:val="008D24A6"/>
    <w:rsid w:val="008D26B2"/>
    <w:rsid w:val="008D2AAF"/>
    <w:rsid w:val="008D3106"/>
    <w:rsid w:val="008D415B"/>
    <w:rsid w:val="008D5E13"/>
    <w:rsid w:val="008D64AB"/>
    <w:rsid w:val="008D7385"/>
    <w:rsid w:val="008D7470"/>
    <w:rsid w:val="008D7F39"/>
    <w:rsid w:val="008E0DDA"/>
    <w:rsid w:val="008E0EAF"/>
    <w:rsid w:val="008E170B"/>
    <w:rsid w:val="008E1B88"/>
    <w:rsid w:val="008E22E3"/>
    <w:rsid w:val="008E25A7"/>
    <w:rsid w:val="008E25DB"/>
    <w:rsid w:val="008E2AD9"/>
    <w:rsid w:val="008E2CF2"/>
    <w:rsid w:val="008E39EA"/>
    <w:rsid w:val="008E3F7E"/>
    <w:rsid w:val="008E45EB"/>
    <w:rsid w:val="008E50A5"/>
    <w:rsid w:val="008E54A4"/>
    <w:rsid w:val="008E5810"/>
    <w:rsid w:val="008E624F"/>
    <w:rsid w:val="008E759C"/>
    <w:rsid w:val="008E7C9E"/>
    <w:rsid w:val="008E7DF8"/>
    <w:rsid w:val="008F0504"/>
    <w:rsid w:val="008F072E"/>
    <w:rsid w:val="008F1076"/>
    <w:rsid w:val="008F10C9"/>
    <w:rsid w:val="008F19EB"/>
    <w:rsid w:val="008F23D2"/>
    <w:rsid w:val="008F26E2"/>
    <w:rsid w:val="008F2885"/>
    <w:rsid w:val="008F346C"/>
    <w:rsid w:val="008F348B"/>
    <w:rsid w:val="008F5078"/>
    <w:rsid w:val="008F5389"/>
    <w:rsid w:val="008F608C"/>
    <w:rsid w:val="008F6496"/>
    <w:rsid w:val="008F64E2"/>
    <w:rsid w:val="008F6D4E"/>
    <w:rsid w:val="008F6DE5"/>
    <w:rsid w:val="008F6F27"/>
    <w:rsid w:val="008F7181"/>
    <w:rsid w:val="008F7A84"/>
    <w:rsid w:val="008F7B21"/>
    <w:rsid w:val="009003AA"/>
    <w:rsid w:val="0090041F"/>
    <w:rsid w:val="00900736"/>
    <w:rsid w:val="00900B08"/>
    <w:rsid w:val="00901B7B"/>
    <w:rsid w:val="00901C91"/>
    <w:rsid w:val="00901CA7"/>
    <w:rsid w:val="00902219"/>
    <w:rsid w:val="00902230"/>
    <w:rsid w:val="00903255"/>
    <w:rsid w:val="009055CF"/>
    <w:rsid w:val="0090588D"/>
    <w:rsid w:val="009067F3"/>
    <w:rsid w:val="00906DCE"/>
    <w:rsid w:val="0090717A"/>
    <w:rsid w:val="00907625"/>
    <w:rsid w:val="00907A52"/>
    <w:rsid w:val="0091068A"/>
    <w:rsid w:val="00910709"/>
    <w:rsid w:val="00911523"/>
    <w:rsid w:val="0091243C"/>
    <w:rsid w:val="00912A1A"/>
    <w:rsid w:val="00912B77"/>
    <w:rsid w:val="00912FA5"/>
    <w:rsid w:val="0091374B"/>
    <w:rsid w:val="00913CB0"/>
    <w:rsid w:val="00915629"/>
    <w:rsid w:val="00915752"/>
    <w:rsid w:val="009159F1"/>
    <w:rsid w:val="00916C77"/>
    <w:rsid w:val="0091792D"/>
    <w:rsid w:val="009200ED"/>
    <w:rsid w:val="009205B2"/>
    <w:rsid w:val="0092085A"/>
    <w:rsid w:val="00920E16"/>
    <w:rsid w:val="00921E7A"/>
    <w:rsid w:val="009226F8"/>
    <w:rsid w:val="0092322F"/>
    <w:rsid w:val="0092328E"/>
    <w:rsid w:val="00923E0F"/>
    <w:rsid w:val="0092419D"/>
    <w:rsid w:val="009245A4"/>
    <w:rsid w:val="00924EFB"/>
    <w:rsid w:val="009252F1"/>
    <w:rsid w:val="009255C3"/>
    <w:rsid w:val="00925645"/>
    <w:rsid w:val="00925A25"/>
    <w:rsid w:val="0092632A"/>
    <w:rsid w:val="009266A0"/>
    <w:rsid w:val="009266EA"/>
    <w:rsid w:val="00926ACE"/>
    <w:rsid w:val="0092743E"/>
    <w:rsid w:val="009303A1"/>
    <w:rsid w:val="009304D1"/>
    <w:rsid w:val="009307AD"/>
    <w:rsid w:val="00930AA7"/>
    <w:rsid w:val="00930DF6"/>
    <w:rsid w:val="009311A2"/>
    <w:rsid w:val="00931365"/>
    <w:rsid w:val="009335E9"/>
    <w:rsid w:val="00933EBE"/>
    <w:rsid w:val="00934209"/>
    <w:rsid w:val="0093477D"/>
    <w:rsid w:val="00936B7B"/>
    <w:rsid w:val="00936BC5"/>
    <w:rsid w:val="00937195"/>
    <w:rsid w:val="00937954"/>
    <w:rsid w:val="00937FDE"/>
    <w:rsid w:val="0094000A"/>
    <w:rsid w:val="009403EE"/>
    <w:rsid w:val="00940596"/>
    <w:rsid w:val="00940D9C"/>
    <w:rsid w:val="009412B3"/>
    <w:rsid w:val="009412E4"/>
    <w:rsid w:val="009412ED"/>
    <w:rsid w:val="0094166C"/>
    <w:rsid w:val="00941AB9"/>
    <w:rsid w:val="00941CF3"/>
    <w:rsid w:val="00942957"/>
    <w:rsid w:val="0094390A"/>
    <w:rsid w:val="00944581"/>
    <w:rsid w:val="009448D1"/>
    <w:rsid w:val="00944E44"/>
    <w:rsid w:val="00945173"/>
    <w:rsid w:val="009459AE"/>
    <w:rsid w:val="0094604A"/>
    <w:rsid w:val="009473B7"/>
    <w:rsid w:val="00947840"/>
    <w:rsid w:val="00950240"/>
    <w:rsid w:val="0095087D"/>
    <w:rsid w:val="00950944"/>
    <w:rsid w:val="00950B38"/>
    <w:rsid w:val="00951035"/>
    <w:rsid w:val="00951171"/>
    <w:rsid w:val="00951D05"/>
    <w:rsid w:val="0095215A"/>
    <w:rsid w:val="00952315"/>
    <w:rsid w:val="009525A4"/>
    <w:rsid w:val="00952BD3"/>
    <w:rsid w:val="00952FFE"/>
    <w:rsid w:val="00953901"/>
    <w:rsid w:val="0095454D"/>
    <w:rsid w:val="00954B38"/>
    <w:rsid w:val="00955FB5"/>
    <w:rsid w:val="009568FE"/>
    <w:rsid w:val="00956ECC"/>
    <w:rsid w:val="009600FC"/>
    <w:rsid w:val="0096070C"/>
    <w:rsid w:val="009607F5"/>
    <w:rsid w:val="009607FD"/>
    <w:rsid w:val="0096081E"/>
    <w:rsid w:val="00961034"/>
    <w:rsid w:val="0096119F"/>
    <w:rsid w:val="0096141B"/>
    <w:rsid w:val="00962F7F"/>
    <w:rsid w:val="00963622"/>
    <w:rsid w:val="009636EB"/>
    <w:rsid w:val="00964D15"/>
    <w:rsid w:val="00964DA8"/>
    <w:rsid w:val="009650CE"/>
    <w:rsid w:val="00965DD4"/>
    <w:rsid w:val="0096600F"/>
    <w:rsid w:val="00966052"/>
    <w:rsid w:val="0096633E"/>
    <w:rsid w:val="00966560"/>
    <w:rsid w:val="00966CDC"/>
    <w:rsid w:val="0096770F"/>
    <w:rsid w:val="0097090D"/>
    <w:rsid w:val="00970C81"/>
    <w:rsid w:val="00971264"/>
    <w:rsid w:val="00971831"/>
    <w:rsid w:val="0097253C"/>
    <w:rsid w:val="00972576"/>
    <w:rsid w:val="0097343D"/>
    <w:rsid w:val="009748BC"/>
    <w:rsid w:val="00974993"/>
    <w:rsid w:val="00974B60"/>
    <w:rsid w:val="00974F58"/>
    <w:rsid w:val="00975631"/>
    <w:rsid w:val="0097589F"/>
    <w:rsid w:val="00975A04"/>
    <w:rsid w:val="00975C08"/>
    <w:rsid w:val="009769D6"/>
    <w:rsid w:val="00976AB8"/>
    <w:rsid w:val="009778A6"/>
    <w:rsid w:val="009779B5"/>
    <w:rsid w:val="0098017B"/>
    <w:rsid w:val="009802CA"/>
    <w:rsid w:val="009805BD"/>
    <w:rsid w:val="00981675"/>
    <w:rsid w:val="00982736"/>
    <w:rsid w:val="00983010"/>
    <w:rsid w:val="00983B7E"/>
    <w:rsid w:val="009849DD"/>
    <w:rsid w:val="0098767F"/>
    <w:rsid w:val="009877CE"/>
    <w:rsid w:val="009910C7"/>
    <w:rsid w:val="00991314"/>
    <w:rsid w:val="00991598"/>
    <w:rsid w:val="0099179D"/>
    <w:rsid w:val="00991D52"/>
    <w:rsid w:val="00993B26"/>
    <w:rsid w:val="00993B7E"/>
    <w:rsid w:val="009942A9"/>
    <w:rsid w:val="009944B5"/>
    <w:rsid w:val="0099453B"/>
    <w:rsid w:val="0099488F"/>
    <w:rsid w:val="00994B78"/>
    <w:rsid w:val="00994DAB"/>
    <w:rsid w:val="00995254"/>
    <w:rsid w:val="009953E9"/>
    <w:rsid w:val="00995CBE"/>
    <w:rsid w:val="00996B81"/>
    <w:rsid w:val="00997C20"/>
    <w:rsid w:val="009A0038"/>
    <w:rsid w:val="009A008D"/>
    <w:rsid w:val="009A0277"/>
    <w:rsid w:val="009A0992"/>
    <w:rsid w:val="009A0CB7"/>
    <w:rsid w:val="009A0D4F"/>
    <w:rsid w:val="009A1633"/>
    <w:rsid w:val="009A2EF5"/>
    <w:rsid w:val="009A3412"/>
    <w:rsid w:val="009A3462"/>
    <w:rsid w:val="009A376F"/>
    <w:rsid w:val="009A3BBE"/>
    <w:rsid w:val="009A3CEF"/>
    <w:rsid w:val="009A3F13"/>
    <w:rsid w:val="009A51EF"/>
    <w:rsid w:val="009A5B78"/>
    <w:rsid w:val="009A5DB7"/>
    <w:rsid w:val="009A62D4"/>
    <w:rsid w:val="009A746A"/>
    <w:rsid w:val="009A74B5"/>
    <w:rsid w:val="009A7A56"/>
    <w:rsid w:val="009A7F23"/>
    <w:rsid w:val="009B0271"/>
    <w:rsid w:val="009B097B"/>
    <w:rsid w:val="009B118E"/>
    <w:rsid w:val="009B19A5"/>
    <w:rsid w:val="009B24D8"/>
    <w:rsid w:val="009B4215"/>
    <w:rsid w:val="009B4748"/>
    <w:rsid w:val="009B4D1F"/>
    <w:rsid w:val="009B4EBA"/>
    <w:rsid w:val="009B51EF"/>
    <w:rsid w:val="009B5BF3"/>
    <w:rsid w:val="009B5C0E"/>
    <w:rsid w:val="009B6268"/>
    <w:rsid w:val="009B675E"/>
    <w:rsid w:val="009B6AE7"/>
    <w:rsid w:val="009B6F25"/>
    <w:rsid w:val="009B7516"/>
    <w:rsid w:val="009C0B9A"/>
    <w:rsid w:val="009C0E19"/>
    <w:rsid w:val="009C0F7A"/>
    <w:rsid w:val="009C1693"/>
    <w:rsid w:val="009C1A70"/>
    <w:rsid w:val="009C1D10"/>
    <w:rsid w:val="009C2860"/>
    <w:rsid w:val="009C2B98"/>
    <w:rsid w:val="009C2FBE"/>
    <w:rsid w:val="009C3049"/>
    <w:rsid w:val="009C31B5"/>
    <w:rsid w:val="009C39DE"/>
    <w:rsid w:val="009D02D7"/>
    <w:rsid w:val="009D173C"/>
    <w:rsid w:val="009D1A28"/>
    <w:rsid w:val="009D22C7"/>
    <w:rsid w:val="009D337C"/>
    <w:rsid w:val="009D36F1"/>
    <w:rsid w:val="009D3B08"/>
    <w:rsid w:val="009D3C66"/>
    <w:rsid w:val="009D4584"/>
    <w:rsid w:val="009D5647"/>
    <w:rsid w:val="009D5656"/>
    <w:rsid w:val="009D5BCD"/>
    <w:rsid w:val="009D6316"/>
    <w:rsid w:val="009D699A"/>
    <w:rsid w:val="009D6AC9"/>
    <w:rsid w:val="009D7062"/>
    <w:rsid w:val="009D751D"/>
    <w:rsid w:val="009D79B7"/>
    <w:rsid w:val="009D7CE0"/>
    <w:rsid w:val="009E0221"/>
    <w:rsid w:val="009E062E"/>
    <w:rsid w:val="009E07B4"/>
    <w:rsid w:val="009E0B90"/>
    <w:rsid w:val="009E0D8C"/>
    <w:rsid w:val="009E2AC4"/>
    <w:rsid w:val="009E2AE7"/>
    <w:rsid w:val="009E2EFE"/>
    <w:rsid w:val="009E356E"/>
    <w:rsid w:val="009E3A45"/>
    <w:rsid w:val="009E4A9C"/>
    <w:rsid w:val="009E5637"/>
    <w:rsid w:val="009E5B84"/>
    <w:rsid w:val="009E614D"/>
    <w:rsid w:val="009E6D1D"/>
    <w:rsid w:val="009E6D35"/>
    <w:rsid w:val="009E7AA8"/>
    <w:rsid w:val="009E7E7E"/>
    <w:rsid w:val="009F0356"/>
    <w:rsid w:val="009F1691"/>
    <w:rsid w:val="009F1EA7"/>
    <w:rsid w:val="009F237A"/>
    <w:rsid w:val="009F2394"/>
    <w:rsid w:val="009F2798"/>
    <w:rsid w:val="009F2B9D"/>
    <w:rsid w:val="009F341A"/>
    <w:rsid w:val="009F5637"/>
    <w:rsid w:val="009F565B"/>
    <w:rsid w:val="009F569E"/>
    <w:rsid w:val="009F6B65"/>
    <w:rsid w:val="009F6D6F"/>
    <w:rsid w:val="009F78E1"/>
    <w:rsid w:val="009F7C58"/>
    <w:rsid w:val="009F7DBA"/>
    <w:rsid w:val="009F7DEE"/>
    <w:rsid w:val="00A00C0A"/>
    <w:rsid w:val="00A00D12"/>
    <w:rsid w:val="00A014E6"/>
    <w:rsid w:val="00A01910"/>
    <w:rsid w:val="00A01E05"/>
    <w:rsid w:val="00A026FC"/>
    <w:rsid w:val="00A03C81"/>
    <w:rsid w:val="00A046D6"/>
    <w:rsid w:val="00A05228"/>
    <w:rsid w:val="00A057B7"/>
    <w:rsid w:val="00A06079"/>
    <w:rsid w:val="00A06220"/>
    <w:rsid w:val="00A063A6"/>
    <w:rsid w:val="00A06743"/>
    <w:rsid w:val="00A10103"/>
    <w:rsid w:val="00A1015E"/>
    <w:rsid w:val="00A101DD"/>
    <w:rsid w:val="00A106DD"/>
    <w:rsid w:val="00A11E52"/>
    <w:rsid w:val="00A123E9"/>
    <w:rsid w:val="00A12520"/>
    <w:rsid w:val="00A12A38"/>
    <w:rsid w:val="00A12DAC"/>
    <w:rsid w:val="00A130F1"/>
    <w:rsid w:val="00A1315E"/>
    <w:rsid w:val="00A1353F"/>
    <w:rsid w:val="00A14C9A"/>
    <w:rsid w:val="00A16B1A"/>
    <w:rsid w:val="00A17210"/>
    <w:rsid w:val="00A17287"/>
    <w:rsid w:val="00A201B4"/>
    <w:rsid w:val="00A20E08"/>
    <w:rsid w:val="00A21127"/>
    <w:rsid w:val="00A21260"/>
    <w:rsid w:val="00A219CF"/>
    <w:rsid w:val="00A21E80"/>
    <w:rsid w:val="00A22BF2"/>
    <w:rsid w:val="00A231E2"/>
    <w:rsid w:val="00A23C30"/>
    <w:rsid w:val="00A24D30"/>
    <w:rsid w:val="00A2589C"/>
    <w:rsid w:val="00A263C8"/>
    <w:rsid w:val="00A266B4"/>
    <w:rsid w:val="00A26877"/>
    <w:rsid w:val="00A26BCE"/>
    <w:rsid w:val="00A26DFE"/>
    <w:rsid w:val="00A26E73"/>
    <w:rsid w:val="00A27306"/>
    <w:rsid w:val="00A274DF"/>
    <w:rsid w:val="00A3062B"/>
    <w:rsid w:val="00A3083B"/>
    <w:rsid w:val="00A31D75"/>
    <w:rsid w:val="00A32174"/>
    <w:rsid w:val="00A322DA"/>
    <w:rsid w:val="00A32C99"/>
    <w:rsid w:val="00A32E72"/>
    <w:rsid w:val="00A32F1C"/>
    <w:rsid w:val="00A3308F"/>
    <w:rsid w:val="00A333FE"/>
    <w:rsid w:val="00A3392F"/>
    <w:rsid w:val="00A339C6"/>
    <w:rsid w:val="00A33FF3"/>
    <w:rsid w:val="00A345B4"/>
    <w:rsid w:val="00A34B36"/>
    <w:rsid w:val="00A361E7"/>
    <w:rsid w:val="00A36265"/>
    <w:rsid w:val="00A362A4"/>
    <w:rsid w:val="00A3698E"/>
    <w:rsid w:val="00A374FD"/>
    <w:rsid w:val="00A375DA"/>
    <w:rsid w:val="00A37E88"/>
    <w:rsid w:val="00A406FB"/>
    <w:rsid w:val="00A41568"/>
    <w:rsid w:val="00A415B9"/>
    <w:rsid w:val="00A41AF2"/>
    <w:rsid w:val="00A422D0"/>
    <w:rsid w:val="00A4322E"/>
    <w:rsid w:val="00A435FC"/>
    <w:rsid w:val="00A44CE3"/>
    <w:rsid w:val="00A451A1"/>
    <w:rsid w:val="00A45354"/>
    <w:rsid w:val="00A45BF2"/>
    <w:rsid w:val="00A45F78"/>
    <w:rsid w:val="00A503ED"/>
    <w:rsid w:val="00A5077F"/>
    <w:rsid w:val="00A52F90"/>
    <w:rsid w:val="00A53819"/>
    <w:rsid w:val="00A54126"/>
    <w:rsid w:val="00A5453F"/>
    <w:rsid w:val="00A555AF"/>
    <w:rsid w:val="00A55750"/>
    <w:rsid w:val="00A56063"/>
    <w:rsid w:val="00A56912"/>
    <w:rsid w:val="00A56A2E"/>
    <w:rsid w:val="00A6004D"/>
    <w:rsid w:val="00A60575"/>
    <w:rsid w:val="00A612D8"/>
    <w:rsid w:val="00A61EF4"/>
    <w:rsid w:val="00A62274"/>
    <w:rsid w:val="00A62586"/>
    <w:rsid w:val="00A62C47"/>
    <w:rsid w:val="00A6400C"/>
    <w:rsid w:val="00A642FC"/>
    <w:rsid w:val="00A645BF"/>
    <w:rsid w:val="00A6505B"/>
    <w:rsid w:val="00A661AE"/>
    <w:rsid w:val="00A664C2"/>
    <w:rsid w:val="00A67C36"/>
    <w:rsid w:val="00A70080"/>
    <w:rsid w:val="00A70575"/>
    <w:rsid w:val="00A70741"/>
    <w:rsid w:val="00A70B29"/>
    <w:rsid w:val="00A71855"/>
    <w:rsid w:val="00A71D49"/>
    <w:rsid w:val="00A730E1"/>
    <w:rsid w:val="00A7388C"/>
    <w:rsid w:val="00A7453E"/>
    <w:rsid w:val="00A7555C"/>
    <w:rsid w:val="00A757B7"/>
    <w:rsid w:val="00A7616D"/>
    <w:rsid w:val="00A7638C"/>
    <w:rsid w:val="00A765E8"/>
    <w:rsid w:val="00A767B8"/>
    <w:rsid w:val="00A76C5E"/>
    <w:rsid w:val="00A76FAF"/>
    <w:rsid w:val="00A802FB"/>
    <w:rsid w:val="00A80475"/>
    <w:rsid w:val="00A80FFC"/>
    <w:rsid w:val="00A82346"/>
    <w:rsid w:val="00A82615"/>
    <w:rsid w:val="00A828CE"/>
    <w:rsid w:val="00A82A29"/>
    <w:rsid w:val="00A82F6C"/>
    <w:rsid w:val="00A83F0A"/>
    <w:rsid w:val="00A842A0"/>
    <w:rsid w:val="00A84B63"/>
    <w:rsid w:val="00A85098"/>
    <w:rsid w:val="00A850C8"/>
    <w:rsid w:val="00A860AE"/>
    <w:rsid w:val="00A863D6"/>
    <w:rsid w:val="00A86541"/>
    <w:rsid w:val="00A86D6E"/>
    <w:rsid w:val="00A86E53"/>
    <w:rsid w:val="00A86F74"/>
    <w:rsid w:val="00A874D2"/>
    <w:rsid w:val="00A9005B"/>
    <w:rsid w:val="00A90E36"/>
    <w:rsid w:val="00A90F71"/>
    <w:rsid w:val="00A90FC9"/>
    <w:rsid w:val="00A914D6"/>
    <w:rsid w:val="00A91D8B"/>
    <w:rsid w:val="00A92083"/>
    <w:rsid w:val="00A922D9"/>
    <w:rsid w:val="00A923C6"/>
    <w:rsid w:val="00A93150"/>
    <w:rsid w:val="00A93A87"/>
    <w:rsid w:val="00A93B80"/>
    <w:rsid w:val="00A93ECF"/>
    <w:rsid w:val="00A94865"/>
    <w:rsid w:val="00A950A9"/>
    <w:rsid w:val="00A955BF"/>
    <w:rsid w:val="00A95997"/>
    <w:rsid w:val="00A95C2D"/>
    <w:rsid w:val="00A965CC"/>
    <w:rsid w:val="00A966C2"/>
    <w:rsid w:val="00A976BA"/>
    <w:rsid w:val="00A97B7C"/>
    <w:rsid w:val="00A97D0C"/>
    <w:rsid w:val="00A97E32"/>
    <w:rsid w:val="00A97F0C"/>
    <w:rsid w:val="00AA0F44"/>
    <w:rsid w:val="00AA0FC7"/>
    <w:rsid w:val="00AA1C7D"/>
    <w:rsid w:val="00AA1D73"/>
    <w:rsid w:val="00AA266D"/>
    <w:rsid w:val="00AA2683"/>
    <w:rsid w:val="00AA2B89"/>
    <w:rsid w:val="00AA3313"/>
    <w:rsid w:val="00AA4273"/>
    <w:rsid w:val="00AA4912"/>
    <w:rsid w:val="00AA6C62"/>
    <w:rsid w:val="00AB0355"/>
    <w:rsid w:val="00AB03E8"/>
    <w:rsid w:val="00AB043E"/>
    <w:rsid w:val="00AB0605"/>
    <w:rsid w:val="00AB09DB"/>
    <w:rsid w:val="00AB0B28"/>
    <w:rsid w:val="00AB1ED6"/>
    <w:rsid w:val="00AB2239"/>
    <w:rsid w:val="00AB2B99"/>
    <w:rsid w:val="00AB2DC6"/>
    <w:rsid w:val="00AB307F"/>
    <w:rsid w:val="00AB33EA"/>
    <w:rsid w:val="00AB3DA5"/>
    <w:rsid w:val="00AB428F"/>
    <w:rsid w:val="00AB4AAC"/>
    <w:rsid w:val="00AB4BA6"/>
    <w:rsid w:val="00AB547F"/>
    <w:rsid w:val="00AB56FF"/>
    <w:rsid w:val="00AB59B1"/>
    <w:rsid w:val="00AB6398"/>
    <w:rsid w:val="00AB645B"/>
    <w:rsid w:val="00AB713E"/>
    <w:rsid w:val="00AB7588"/>
    <w:rsid w:val="00AC01A5"/>
    <w:rsid w:val="00AC18E7"/>
    <w:rsid w:val="00AC30CB"/>
    <w:rsid w:val="00AC3613"/>
    <w:rsid w:val="00AC5270"/>
    <w:rsid w:val="00AC5294"/>
    <w:rsid w:val="00AC636F"/>
    <w:rsid w:val="00AC6560"/>
    <w:rsid w:val="00AC6A71"/>
    <w:rsid w:val="00AC6DB1"/>
    <w:rsid w:val="00AC742D"/>
    <w:rsid w:val="00AC7A20"/>
    <w:rsid w:val="00AC7D1E"/>
    <w:rsid w:val="00AD024D"/>
    <w:rsid w:val="00AD05F2"/>
    <w:rsid w:val="00AD06CF"/>
    <w:rsid w:val="00AD0E3B"/>
    <w:rsid w:val="00AD16B5"/>
    <w:rsid w:val="00AD1FA0"/>
    <w:rsid w:val="00AD20AC"/>
    <w:rsid w:val="00AD2948"/>
    <w:rsid w:val="00AD4068"/>
    <w:rsid w:val="00AD4EEE"/>
    <w:rsid w:val="00AD5A2A"/>
    <w:rsid w:val="00AD5CDF"/>
    <w:rsid w:val="00AD60FE"/>
    <w:rsid w:val="00AD61B6"/>
    <w:rsid w:val="00AD6570"/>
    <w:rsid w:val="00AD6FE7"/>
    <w:rsid w:val="00AD7595"/>
    <w:rsid w:val="00AD7E69"/>
    <w:rsid w:val="00AE03AC"/>
    <w:rsid w:val="00AE06A9"/>
    <w:rsid w:val="00AE13B4"/>
    <w:rsid w:val="00AE1BB4"/>
    <w:rsid w:val="00AE30BD"/>
    <w:rsid w:val="00AE32C4"/>
    <w:rsid w:val="00AE3416"/>
    <w:rsid w:val="00AE42C5"/>
    <w:rsid w:val="00AE4435"/>
    <w:rsid w:val="00AE4844"/>
    <w:rsid w:val="00AE5233"/>
    <w:rsid w:val="00AE5C2F"/>
    <w:rsid w:val="00AE6809"/>
    <w:rsid w:val="00AE721D"/>
    <w:rsid w:val="00AE77D4"/>
    <w:rsid w:val="00AF1298"/>
    <w:rsid w:val="00AF14FC"/>
    <w:rsid w:val="00AF171F"/>
    <w:rsid w:val="00AF1D77"/>
    <w:rsid w:val="00AF24CF"/>
    <w:rsid w:val="00AF28D1"/>
    <w:rsid w:val="00AF2DEB"/>
    <w:rsid w:val="00AF30C3"/>
    <w:rsid w:val="00AF3336"/>
    <w:rsid w:val="00AF3606"/>
    <w:rsid w:val="00AF471D"/>
    <w:rsid w:val="00AF4981"/>
    <w:rsid w:val="00AF5B45"/>
    <w:rsid w:val="00AF605E"/>
    <w:rsid w:val="00AF6DB3"/>
    <w:rsid w:val="00AF6DBB"/>
    <w:rsid w:val="00AF709D"/>
    <w:rsid w:val="00AF761D"/>
    <w:rsid w:val="00AF76F5"/>
    <w:rsid w:val="00AF784F"/>
    <w:rsid w:val="00AF7C20"/>
    <w:rsid w:val="00AF7D5D"/>
    <w:rsid w:val="00B00CAD"/>
    <w:rsid w:val="00B023E9"/>
    <w:rsid w:val="00B02499"/>
    <w:rsid w:val="00B02F7F"/>
    <w:rsid w:val="00B03059"/>
    <w:rsid w:val="00B03413"/>
    <w:rsid w:val="00B037AC"/>
    <w:rsid w:val="00B03FEC"/>
    <w:rsid w:val="00B046C5"/>
    <w:rsid w:val="00B04B27"/>
    <w:rsid w:val="00B054F6"/>
    <w:rsid w:val="00B067D0"/>
    <w:rsid w:val="00B06FC4"/>
    <w:rsid w:val="00B1002A"/>
    <w:rsid w:val="00B10CF8"/>
    <w:rsid w:val="00B1100A"/>
    <w:rsid w:val="00B11081"/>
    <w:rsid w:val="00B126DF"/>
    <w:rsid w:val="00B1406A"/>
    <w:rsid w:val="00B1417E"/>
    <w:rsid w:val="00B14C62"/>
    <w:rsid w:val="00B15568"/>
    <w:rsid w:val="00B173C4"/>
    <w:rsid w:val="00B20AA5"/>
    <w:rsid w:val="00B21BC9"/>
    <w:rsid w:val="00B222F0"/>
    <w:rsid w:val="00B222FE"/>
    <w:rsid w:val="00B22B11"/>
    <w:rsid w:val="00B22BE4"/>
    <w:rsid w:val="00B243A3"/>
    <w:rsid w:val="00B24A15"/>
    <w:rsid w:val="00B25D51"/>
    <w:rsid w:val="00B25D9E"/>
    <w:rsid w:val="00B265E0"/>
    <w:rsid w:val="00B2672C"/>
    <w:rsid w:val="00B2676F"/>
    <w:rsid w:val="00B26F6C"/>
    <w:rsid w:val="00B27400"/>
    <w:rsid w:val="00B279BB"/>
    <w:rsid w:val="00B30158"/>
    <w:rsid w:val="00B30324"/>
    <w:rsid w:val="00B30364"/>
    <w:rsid w:val="00B3037D"/>
    <w:rsid w:val="00B32111"/>
    <w:rsid w:val="00B34189"/>
    <w:rsid w:val="00B3487F"/>
    <w:rsid w:val="00B349A9"/>
    <w:rsid w:val="00B34E65"/>
    <w:rsid w:val="00B34FD3"/>
    <w:rsid w:val="00B35CD0"/>
    <w:rsid w:val="00B360F9"/>
    <w:rsid w:val="00B36299"/>
    <w:rsid w:val="00B363C5"/>
    <w:rsid w:val="00B36E2E"/>
    <w:rsid w:val="00B37235"/>
    <w:rsid w:val="00B401D7"/>
    <w:rsid w:val="00B40771"/>
    <w:rsid w:val="00B40D75"/>
    <w:rsid w:val="00B40E10"/>
    <w:rsid w:val="00B413FF"/>
    <w:rsid w:val="00B429D9"/>
    <w:rsid w:val="00B429DD"/>
    <w:rsid w:val="00B4401E"/>
    <w:rsid w:val="00B4470F"/>
    <w:rsid w:val="00B44BE2"/>
    <w:rsid w:val="00B44D4F"/>
    <w:rsid w:val="00B4506A"/>
    <w:rsid w:val="00B453B1"/>
    <w:rsid w:val="00B45437"/>
    <w:rsid w:val="00B45BE8"/>
    <w:rsid w:val="00B45C6A"/>
    <w:rsid w:val="00B46417"/>
    <w:rsid w:val="00B46F4D"/>
    <w:rsid w:val="00B47819"/>
    <w:rsid w:val="00B47AB8"/>
    <w:rsid w:val="00B5033C"/>
    <w:rsid w:val="00B50CB8"/>
    <w:rsid w:val="00B51BAA"/>
    <w:rsid w:val="00B51EB6"/>
    <w:rsid w:val="00B525EF"/>
    <w:rsid w:val="00B52987"/>
    <w:rsid w:val="00B5326A"/>
    <w:rsid w:val="00B53B30"/>
    <w:rsid w:val="00B53D9F"/>
    <w:rsid w:val="00B542A6"/>
    <w:rsid w:val="00B54BC2"/>
    <w:rsid w:val="00B55907"/>
    <w:rsid w:val="00B55988"/>
    <w:rsid w:val="00B55B44"/>
    <w:rsid w:val="00B565DD"/>
    <w:rsid w:val="00B56688"/>
    <w:rsid w:val="00B56E84"/>
    <w:rsid w:val="00B5702D"/>
    <w:rsid w:val="00B57420"/>
    <w:rsid w:val="00B576DD"/>
    <w:rsid w:val="00B576FF"/>
    <w:rsid w:val="00B578DB"/>
    <w:rsid w:val="00B60872"/>
    <w:rsid w:val="00B61BD2"/>
    <w:rsid w:val="00B62373"/>
    <w:rsid w:val="00B62485"/>
    <w:rsid w:val="00B6323A"/>
    <w:rsid w:val="00B63775"/>
    <w:rsid w:val="00B63C34"/>
    <w:rsid w:val="00B63FFD"/>
    <w:rsid w:val="00B6671B"/>
    <w:rsid w:val="00B6687A"/>
    <w:rsid w:val="00B66B1D"/>
    <w:rsid w:val="00B66D4F"/>
    <w:rsid w:val="00B67500"/>
    <w:rsid w:val="00B6771B"/>
    <w:rsid w:val="00B702A4"/>
    <w:rsid w:val="00B70429"/>
    <w:rsid w:val="00B707C4"/>
    <w:rsid w:val="00B718F3"/>
    <w:rsid w:val="00B71CB4"/>
    <w:rsid w:val="00B72AFE"/>
    <w:rsid w:val="00B72DFC"/>
    <w:rsid w:val="00B73AEA"/>
    <w:rsid w:val="00B74A18"/>
    <w:rsid w:val="00B74B12"/>
    <w:rsid w:val="00B75086"/>
    <w:rsid w:val="00B75491"/>
    <w:rsid w:val="00B754F2"/>
    <w:rsid w:val="00B755DC"/>
    <w:rsid w:val="00B75AE5"/>
    <w:rsid w:val="00B76203"/>
    <w:rsid w:val="00B76E8C"/>
    <w:rsid w:val="00B76FFF"/>
    <w:rsid w:val="00B8114F"/>
    <w:rsid w:val="00B822CF"/>
    <w:rsid w:val="00B8327D"/>
    <w:rsid w:val="00B8342B"/>
    <w:rsid w:val="00B837D6"/>
    <w:rsid w:val="00B83873"/>
    <w:rsid w:val="00B84106"/>
    <w:rsid w:val="00B84841"/>
    <w:rsid w:val="00B8585A"/>
    <w:rsid w:val="00B86479"/>
    <w:rsid w:val="00B86B35"/>
    <w:rsid w:val="00B86B3A"/>
    <w:rsid w:val="00B902A8"/>
    <w:rsid w:val="00B91721"/>
    <w:rsid w:val="00B92268"/>
    <w:rsid w:val="00B923DD"/>
    <w:rsid w:val="00B92ED6"/>
    <w:rsid w:val="00B9361E"/>
    <w:rsid w:val="00B94013"/>
    <w:rsid w:val="00B94F64"/>
    <w:rsid w:val="00B95C3D"/>
    <w:rsid w:val="00B96A91"/>
    <w:rsid w:val="00B96F28"/>
    <w:rsid w:val="00B97200"/>
    <w:rsid w:val="00B9751D"/>
    <w:rsid w:val="00BA027A"/>
    <w:rsid w:val="00BA1648"/>
    <w:rsid w:val="00BA2649"/>
    <w:rsid w:val="00BA27EB"/>
    <w:rsid w:val="00BA2FD6"/>
    <w:rsid w:val="00BA39DE"/>
    <w:rsid w:val="00BA3D5E"/>
    <w:rsid w:val="00BA3E1B"/>
    <w:rsid w:val="00BA4328"/>
    <w:rsid w:val="00BA493C"/>
    <w:rsid w:val="00BA49AF"/>
    <w:rsid w:val="00BA4A1A"/>
    <w:rsid w:val="00BA5086"/>
    <w:rsid w:val="00BA52D9"/>
    <w:rsid w:val="00BA52E1"/>
    <w:rsid w:val="00BA537F"/>
    <w:rsid w:val="00BA5488"/>
    <w:rsid w:val="00BA553B"/>
    <w:rsid w:val="00BA5602"/>
    <w:rsid w:val="00BA5996"/>
    <w:rsid w:val="00BA5E78"/>
    <w:rsid w:val="00BA64DD"/>
    <w:rsid w:val="00BA712F"/>
    <w:rsid w:val="00BA774A"/>
    <w:rsid w:val="00BB1062"/>
    <w:rsid w:val="00BB13E2"/>
    <w:rsid w:val="00BB30CC"/>
    <w:rsid w:val="00BB3696"/>
    <w:rsid w:val="00BB3EB3"/>
    <w:rsid w:val="00BB48E5"/>
    <w:rsid w:val="00BB4C37"/>
    <w:rsid w:val="00BB4E8F"/>
    <w:rsid w:val="00BB507A"/>
    <w:rsid w:val="00BB6C16"/>
    <w:rsid w:val="00BB7A53"/>
    <w:rsid w:val="00BB7E14"/>
    <w:rsid w:val="00BC1223"/>
    <w:rsid w:val="00BC1394"/>
    <w:rsid w:val="00BC24EC"/>
    <w:rsid w:val="00BC25EC"/>
    <w:rsid w:val="00BC2B49"/>
    <w:rsid w:val="00BC2E72"/>
    <w:rsid w:val="00BC34C3"/>
    <w:rsid w:val="00BC3554"/>
    <w:rsid w:val="00BC3F0E"/>
    <w:rsid w:val="00BC5167"/>
    <w:rsid w:val="00BC5454"/>
    <w:rsid w:val="00BC589A"/>
    <w:rsid w:val="00BC5ECB"/>
    <w:rsid w:val="00BC67BF"/>
    <w:rsid w:val="00BC686E"/>
    <w:rsid w:val="00BC6AA1"/>
    <w:rsid w:val="00BC71CC"/>
    <w:rsid w:val="00BC74C4"/>
    <w:rsid w:val="00BC7D74"/>
    <w:rsid w:val="00BD09C1"/>
    <w:rsid w:val="00BD0AB7"/>
    <w:rsid w:val="00BD1BF7"/>
    <w:rsid w:val="00BD1D72"/>
    <w:rsid w:val="00BD2987"/>
    <w:rsid w:val="00BD2BDC"/>
    <w:rsid w:val="00BD38A0"/>
    <w:rsid w:val="00BD3902"/>
    <w:rsid w:val="00BD397D"/>
    <w:rsid w:val="00BD413A"/>
    <w:rsid w:val="00BD4C57"/>
    <w:rsid w:val="00BD56EC"/>
    <w:rsid w:val="00BD5A05"/>
    <w:rsid w:val="00BD62A7"/>
    <w:rsid w:val="00BD6916"/>
    <w:rsid w:val="00BD70D1"/>
    <w:rsid w:val="00BD75C7"/>
    <w:rsid w:val="00BD7B25"/>
    <w:rsid w:val="00BE0A22"/>
    <w:rsid w:val="00BE0A50"/>
    <w:rsid w:val="00BE1126"/>
    <w:rsid w:val="00BE1426"/>
    <w:rsid w:val="00BE195D"/>
    <w:rsid w:val="00BE2365"/>
    <w:rsid w:val="00BE2B72"/>
    <w:rsid w:val="00BE33AB"/>
    <w:rsid w:val="00BE4CE2"/>
    <w:rsid w:val="00BE695D"/>
    <w:rsid w:val="00BE6DAB"/>
    <w:rsid w:val="00BE72D7"/>
    <w:rsid w:val="00BF0827"/>
    <w:rsid w:val="00BF08BF"/>
    <w:rsid w:val="00BF24C4"/>
    <w:rsid w:val="00BF24F5"/>
    <w:rsid w:val="00BF3115"/>
    <w:rsid w:val="00BF3201"/>
    <w:rsid w:val="00BF39CF"/>
    <w:rsid w:val="00BF55A8"/>
    <w:rsid w:val="00BF6424"/>
    <w:rsid w:val="00BF6479"/>
    <w:rsid w:val="00BF6672"/>
    <w:rsid w:val="00BF6808"/>
    <w:rsid w:val="00BF74D9"/>
    <w:rsid w:val="00BF76E6"/>
    <w:rsid w:val="00BF7AFB"/>
    <w:rsid w:val="00BF7ECB"/>
    <w:rsid w:val="00C00670"/>
    <w:rsid w:val="00C009D2"/>
    <w:rsid w:val="00C01253"/>
    <w:rsid w:val="00C01CEF"/>
    <w:rsid w:val="00C022D5"/>
    <w:rsid w:val="00C02F49"/>
    <w:rsid w:val="00C03A51"/>
    <w:rsid w:val="00C042E1"/>
    <w:rsid w:val="00C050EC"/>
    <w:rsid w:val="00C05385"/>
    <w:rsid w:val="00C056A9"/>
    <w:rsid w:val="00C05AB3"/>
    <w:rsid w:val="00C05C4C"/>
    <w:rsid w:val="00C06BE9"/>
    <w:rsid w:val="00C06F4F"/>
    <w:rsid w:val="00C078A7"/>
    <w:rsid w:val="00C07C92"/>
    <w:rsid w:val="00C1163F"/>
    <w:rsid w:val="00C11693"/>
    <w:rsid w:val="00C11916"/>
    <w:rsid w:val="00C11F29"/>
    <w:rsid w:val="00C123A2"/>
    <w:rsid w:val="00C12A7A"/>
    <w:rsid w:val="00C12D90"/>
    <w:rsid w:val="00C13108"/>
    <w:rsid w:val="00C13198"/>
    <w:rsid w:val="00C131FB"/>
    <w:rsid w:val="00C1349D"/>
    <w:rsid w:val="00C146D9"/>
    <w:rsid w:val="00C14BC9"/>
    <w:rsid w:val="00C1522E"/>
    <w:rsid w:val="00C157B8"/>
    <w:rsid w:val="00C16527"/>
    <w:rsid w:val="00C16701"/>
    <w:rsid w:val="00C16B12"/>
    <w:rsid w:val="00C16D91"/>
    <w:rsid w:val="00C16FFA"/>
    <w:rsid w:val="00C17C99"/>
    <w:rsid w:val="00C17CFC"/>
    <w:rsid w:val="00C17D10"/>
    <w:rsid w:val="00C2011A"/>
    <w:rsid w:val="00C20472"/>
    <w:rsid w:val="00C2098B"/>
    <w:rsid w:val="00C20C84"/>
    <w:rsid w:val="00C20DFB"/>
    <w:rsid w:val="00C20F9C"/>
    <w:rsid w:val="00C2115E"/>
    <w:rsid w:val="00C220BF"/>
    <w:rsid w:val="00C22D24"/>
    <w:rsid w:val="00C237CC"/>
    <w:rsid w:val="00C238FC"/>
    <w:rsid w:val="00C240B9"/>
    <w:rsid w:val="00C2482D"/>
    <w:rsid w:val="00C25316"/>
    <w:rsid w:val="00C2543C"/>
    <w:rsid w:val="00C262E3"/>
    <w:rsid w:val="00C27117"/>
    <w:rsid w:val="00C27648"/>
    <w:rsid w:val="00C276F4"/>
    <w:rsid w:val="00C30192"/>
    <w:rsid w:val="00C31488"/>
    <w:rsid w:val="00C334FE"/>
    <w:rsid w:val="00C34D12"/>
    <w:rsid w:val="00C34D15"/>
    <w:rsid w:val="00C371DF"/>
    <w:rsid w:val="00C37400"/>
    <w:rsid w:val="00C37A9A"/>
    <w:rsid w:val="00C40B7D"/>
    <w:rsid w:val="00C4109E"/>
    <w:rsid w:val="00C41DBA"/>
    <w:rsid w:val="00C427BC"/>
    <w:rsid w:val="00C42B44"/>
    <w:rsid w:val="00C42E92"/>
    <w:rsid w:val="00C4338C"/>
    <w:rsid w:val="00C43DFD"/>
    <w:rsid w:val="00C444AC"/>
    <w:rsid w:val="00C45878"/>
    <w:rsid w:val="00C4590D"/>
    <w:rsid w:val="00C45D14"/>
    <w:rsid w:val="00C47F35"/>
    <w:rsid w:val="00C517D6"/>
    <w:rsid w:val="00C51898"/>
    <w:rsid w:val="00C524BD"/>
    <w:rsid w:val="00C524D8"/>
    <w:rsid w:val="00C53638"/>
    <w:rsid w:val="00C5552C"/>
    <w:rsid w:val="00C558D6"/>
    <w:rsid w:val="00C55B44"/>
    <w:rsid w:val="00C56559"/>
    <w:rsid w:val="00C56B06"/>
    <w:rsid w:val="00C56FA4"/>
    <w:rsid w:val="00C5706D"/>
    <w:rsid w:val="00C579DB"/>
    <w:rsid w:val="00C57D3A"/>
    <w:rsid w:val="00C604B9"/>
    <w:rsid w:val="00C61826"/>
    <w:rsid w:val="00C62691"/>
    <w:rsid w:val="00C62B7E"/>
    <w:rsid w:val="00C63FB8"/>
    <w:rsid w:val="00C64663"/>
    <w:rsid w:val="00C64751"/>
    <w:rsid w:val="00C64896"/>
    <w:rsid w:val="00C648C1"/>
    <w:rsid w:val="00C6686A"/>
    <w:rsid w:val="00C66C22"/>
    <w:rsid w:val="00C66D4F"/>
    <w:rsid w:val="00C67081"/>
    <w:rsid w:val="00C67BA3"/>
    <w:rsid w:val="00C67BBD"/>
    <w:rsid w:val="00C70963"/>
    <w:rsid w:val="00C70C5B"/>
    <w:rsid w:val="00C71A19"/>
    <w:rsid w:val="00C725B1"/>
    <w:rsid w:val="00C72643"/>
    <w:rsid w:val="00C734C6"/>
    <w:rsid w:val="00C74821"/>
    <w:rsid w:val="00C74FCB"/>
    <w:rsid w:val="00C75A6F"/>
    <w:rsid w:val="00C76156"/>
    <w:rsid w:val="00C808F5"/>
    <w:rsid w:val="00C80A7C"/>
    <w:rsid w:val="00C80D9F"/>
    <w:rsid w:val="00C80E10"/>
    <w:rsid w:val="00C819E3"/>
    <w:rsid w:val="00C82315"/>
    <w:rsid w:val="00C828E6"/>
    <w:rsid w:val="00C82E76"/>
    <w:rsid w:val="00C8337F"/>
    <w:rsid w:val="00C84084"/>
    <w:rsid w:val="00C840B2"/>
    <w:rsid w:val="00C841F3"/>
    <w:rsid w:val="00C84292"/>
    <w:rsid w:val="00C843D5"/>
    <w:rsid w:val="00C8500A"/>
    <w:rsid w:val="00C8565F"/>
    <w:rsid w:val="00C863FD"/>
    <w:rsid w:val="00C86837"/>
    <w:rsid w:val="00C86BE8"/>
    <w:rsid w:val="00C90DC8"/>
    <w:rsid w:val="00C91EA0"/>
    <w:rsid w:val="00C921F1"/>
    <w:rsid w:val="00C92519"/>
    <w:rsid w:val="00C936BE"/>
    <w:rsid w:val="00C93AC9"/>
    <w:rsid w:val="00C93AE7"/>
    <w:rsid w:val="00C94058"/>
    <w:rsid w:val="00C95DEF"/>
    <w:rsid w:val="00C9679C"/>
    <w:rsid w:val="00C969DD"/>
    <w:rsid w:val="00C97D0E"/>
    <w:rsid w:val="00CA07E9"/>
    <w:rsid w:val="00CA2101"/>
    <w:rsid w:val="00CA26AB"/>
    <w:rsid w:val="00CA2AB6"/>
    <w:rsid w:val="00CA2ED9"/>
    <w:rsid w:val="00CA2EF3"/>
    <w:rsid w:val="00CA3271"/>
    <w:rsid w:val="00CA3DBD"/>
    <w:rsid w:val="00CA42CE"/>
    <w:rsid w:val="00CA54B6"/>
    <w:rsid w:val="00CA57B1"/>
    <w:rsid w:val="00CA5EAC"/>
    <w:rsid w:val="00CA5F01"/>
    <w:rsid w:val="00CA636C"/>
    <w:rsid w:val="00CA6A56"/>
    <w:rsid w:val="00CA6E40"/>
    <w:rsid w:val="00CA7308"/>
    <w:rsid w:val="00CA74EA"/>
    <w:rsid w:val="00CA7657"/>
    <w:rsid w:val="00CA7C08"/>
    <w:rsid w:val="00CB03BA"/>
    <w:rsid w:val="00CB04F5"/>
    <w:rsid w:val="00CB0D58"/>
    <w:rsid w:val="00CB1B80"/>
    <w:rsid w:val="00CB1E6F"/>
    <w:rsid w:val="00CB1F7D"/>
    <w:rsid w:val="00CB2203"/>
    <w:rsid w:val="00CB27C5"/>
    <w:rsid w:val="00CB3465"/>
    <w:rsid w:val="00CB3736"/>
    <w:rsid w:val="00CB3E71"/>
    <w:rsid w:val="00CB49FF"/>
    <w:rsid w:val="00CB5B89"/>
    <w:rsid w:val="00CB5C96"/>
    <w:rsid w:val="00CB72FF"/>
    <w:rsid w:val="00CB7F66"/>
    <w:rsid w:val="00CC06BD"/>
    <w:rsid w:val="00CC0709"/>
    <w:rsid w:val="00CC0CF3"/>
    <w:rsid w:val="00CC2ED6"/>
    <w:rsid w:val="00CC350B"/>
    <w:rsid w:val="00CC42CA"/>
    <w:rsid w:val="00CC42E8"/>
    <w:rsid w:val="00CC438D"/>
    <w:rsid w:val="00CC49AF"/>
    <w:rsid w:val="00CC4C71"/>
    <w:rsid w:val="00CC5057"/>
    <w:rsid w:val="00CC5CFD"/>
    <w:rsid w:val="00CC5FA1"/>
    <w:rsid w:val="00CC6C18"/>
    <w:rsid w:val="00CC72C7"/>
    <w:rsid w:val="00CC760F"/>
    <w:rsid w:val="00CD00F8"/>
    <w:rsid w:val="00CD0BC2"/>
    <w:rsid w:val="00CD254E"/>
    <w:rsid w:val="00CD264F"/>
    <w:rsid w:val="00CD391A"/>
    <w:rsid w:val="00CD45F9"/>
    <w:rsid w:val="00CD4FEC"/>
    <w:rsid w:val="00CD5D09"/>
    <w:rsid w:val="00CD6AC7"/>
    <w:rsid w:val="00CD6F53"/>
    <w:rsid w:val="00CD7C33"/>
    <w:rsid w:val="00CE13E3"/>
    <w:rsid w:val="00CE14B1"/>
    <w:rsid w:val="00CE1793"/>
    <w:rsid w:val="00CE1B93"/>
    <w:rsid w:val="00CE38FE"/>
    <w:rsid w:val="00CE3C8A"/>
    <w:rsid w:val="00CE42C8"/>
    <w:rsid w:val="00CE62E2"/>
    <w:rsid w:val="00CE6544"/>
    <w:rsid w:val="00CE6EF1"/>
    <w:rsid w:val="00CE74FD"/>
    <w:rsid w:val="00CF0B05"/>
    <w:rsid w:val="00CF11A4"/>
    <w:rsid w:val="00CF1E7E"/>
    <w:rsid w:val="00CF278B"/>
    <w:rsid w:val="00CF2CAF"/>
    <w:rsid w:val="00CF32F8"/>
    <w:rsid w:val="00CF3D88"/>
    <w:rsid w:val="00CF5E8F"/>
    <w:rsid w:val="00CF6008"/>
    <w:rsid w:val="00CF67D8"/>
    <w:rsid w:val="00CF7D42"/>
    <w:rsid w:val="00CF7F98"/>
    <w:rsid w:val="00CF7F9E"/>
    <w:rsid w:val="00D00525"/>
    <w:rsid w:val="00D01121"/>
    <w:rsid w:val="00D015E7"/>
    <w:rsid w:val="00D022D5"/>
    <w:rsid w:val="00D02E0C"/>
    <w:rsid w:val="00D033F0"/>
    <w:rsid w:val="00D0508F"/>
    <w:rsid w:val="00D0512B"/>
    <w:rsid w:val="00D056D3"/>
    <w:rsid w:val="00D05EE3"/>
    <w:rsid w:val="00D06443"/>
    <w:rsid w:val="00D06685"/>
    <w:rsid w:val="00D070EA"/>
    <w:rsid w:val="00D0726B"/>
    <w:rsid w:val="00D073E9"/>
    <w:rsid w:val="00D07635"/>
    <w:rsid w:val="00D076D6"/>
    <w:rsid w:val="00D07C1B"/>
    <w:rsid w:val="00D07F18"/>
    <w:rsid w:val="00D104DA"/>
    <w:rsid w:val="00D10543"/>
    <w:rsid w:val="00D1083A"/>
    <w:rsid w:val="00D1165D"/>
    <w:rsid w:val="00D11786"/>
    <w:rsid w:val="00D11EB2"/>
    <w:rsid w:val="00D12116"/>
    <w:rsid w:val="00D12DCE"/>
    <w:rsid w:val="00D13407"/>
    <w:rsid w:val="00D143C2"/>
    <w:rsid w:val="00D1480A"/>
    <w:rsid w:val="00D14F66"/>
    <w:rsid w:val="00D16002"/>
    <w:rsid w:val="00D16229"/>
    <w:rsid w:val="00D16F32"/>
    <w:rsid w:val="00D1707C"/>
    <w:rsid w:val="00D178BC"/>
    <w:rsid w:val="00D207AE"/>
    <w:rsid w:val="00D20F6F"/>
    <w:rsid w:val="00D21562"/>
    <w:rsid w:val="00D2246A"/>
    <w:rsid w:val="00D22534"/>
    <w:rsid w:val="00D22996"/>
    <w:rsid w:val="00D22E5E"/>
    <w:rsid w:val="00D22E8F"/>
    <w:rsid w:val="00D23576"/>
    <w:rsid w:val="00D245CC"/>
    <w:rsid w:val="00D2494D"/>
    <w:rsid w:val="00D26159"/>
    <w:rsid w:val="00D26603"/>
    <w:rsid w:val="00D30E5D"/>
    <w:rsid w:val="00D30FF7"/>
    <w:rsid w:val="00D3158F"/>
    <w:rsid w:val="00D31919"/>
    <w:rsid w:val="00D31A6F"/>
    <w:rsid w:val="00D31CC0"/>
    <w:rsid w:val="00D31CCF"/>
    <w:rsid w:val="00D33229"/>
    <w:rsid w:val="00D3331D"/>
    <w:rsid w:val="00D33DFF"/>
    <w:rsid w:val="00D34DD0"/>
    <w:rsid w:val="00D34F82"/>
    <w:rsid w:val="00D367B1"/>
    <w:rsid w:val="00D36FD1"/>
    <w:rsid w:val="00D402F3"/>
    <w:rsid w:val="00D40530"/>
    <w:rsid w:val="00D4184C"/>
    <w:rsid w:val="00D41F34"/>
    <w:rsid w:val="00D422E6"/>
    <w:rsid w:val="00D426A3"/>
    <w:rsid w:val="00D4376D"/>
    <w:rsid w:val="00D43E02"/>
    <w:rsid w:val="00D43FF0"/>
    <w:rsid w:val="00D44249"/>
    <w:rsid w:val="00D447FA"/>
    <w:rsid w:val="00D44C77"/>
    <w:rsid w:val="00D45E2E"/>
    <w:rsid w:val="00D465C4"/>
    <w:rsid w:val="00D46888"/>
    <w:rsid w:val="00D46D76"/>
    <w:rsid w:val="00D472C5"/>
    <w:rsid w:val="00D47C04"/>
    <w:rsid w:val="00D513B4"/>
    <w:rsid w:val="00D52259"/>
    <w:rsid w:val="00D52895"/>
    <w:rsid w:val="00D55B87"/>
    <w:rsid w:val="00D56E9D"/>
    <w:rsid w:val="00D57BDC"/>
    <w:rsid w:val="00D61884"/>
    <w:rsid w:val="00D62165"/>
    <w:rsid w:val="00D62533"/>
    <w:rsid w:val="00D636A2"/>
    <w:rsid w:val="00D639A4"/>
    <w:rsid w:val="00D63A6D"/>
    <w:rsid w:val="00D63F33"/>
    <w:rsid w:val="00D6405E"/>
    <w:rsid w:val="00D6459B"/>
    <w:rsid w:val="00D64848"/>
    <w:rsid w:val="00D65298"/>
    <w:rsid w:val="00D65900"/>
    <w:rsid w:val="00D660A8"/>
    <w:rsid w:val="00D662A3"/>
    <w:rsid w:val="00D67EE7"/>
    <w:rsid w:val="00D71274"/>
    <w:rsid w:val="00D7157D"/>
    <w:rsid w:val="00D71EFE"/>
    <w:rsid w:val="00D72592"/>
    <w:rsid w:val="00D7278F"/>
    <w:rsid w:val="00D72D2E"/>
    <w:rsid w:val="00D7330F"/>
    <w:rsid w:val="00D73E68"/>
    <w:rsid w:val="00D744E8"/>
    <w:rsid w:val="00D75187"/>
    <w:rsid w:val="00D75E38"/>
    <w:rsid w:val="00D76C59"/>
    <w:rsid w:val="00D76EB7"/>
    <w:rsid w:val="00D77C19"/>
    <w:rsid w:val="00D80FDA"/>
    <w:rsid w:val="00D81006"/>
    <w:rsid w:val="00D816A2"/>
    <w:rsid w:val="00D81E3F"/>
    <w:rsid w:val="00D82664"/>
    <w:rsid w:val="00D82765"/>
    <w:rsid w:val="00D82B96"/>
    <w:rsid w:val="00D8418E"/>
    <w:rsid w:val="00D841BF"/>
    <w:rsid w:val="00D844DE"/>
    <w:rsid w:val="00D848FA"/>
    <w:rsid w:val="00D85BB3"/>
    <w:rsid w:val="00D860B7"/>
    <w:rsid w:val="00D87230"/>
    <w:rsid w:val="00D90FBF"/>
    <w:rsid w:val="00D90FC0"/>
    <w:rsid w:val="00D9125E"/>
    <w:rsid w:val="00D91418"/>
    <w:rsid w:val="00D91796"/>
    <w:rsid w:val="00D91BC8"/>
    <w:rsid w:val="00D91DBB"/>
    <w:rsid w:val="00D92386"/>
    <w:rsid w:val="00D92CCE"/>
    <w:rsid w:val="00D93604"/>
    <w:rsid w:val="00D93851"/>
    <w:rsid w:val="00D93BC5"/>
    <w:rsid w:val="00D943E0"/>
    <w:rsid w:val="00D9487F"/>
    <w:rsid w:val="00D97B64"/>
    <w:rsid w:val="00D97B7A"/>
    <w:rsid w:val="00DA0B18"/>
    <w:rsid w:val="00DA0CBA"/>
    <w:rsid w:val="00DA1702"/>
    <w:rsid w:val="00DA1A4E"/>
    <w:rsid w:val="00DA1D00"/>
    <w:rsid w:val="00DA27E7"/>
    <w:rsid w:val="00DA3409"/>
    <w:rsid w:val="00DA42E3"/>
    <w:rsid w:val="00DA54FD"/>
    <w:rsid w:val="00DA5AB1"/>
    <w:rsid w:val="00DA5B7B"/>
    <w:rsid w:val="00DA5C46"/>
    <w:rsid w:val="00DA6C9D"/>
    <w:rsid w:val="00DA7D67"/>
    <w:rsid w:val="00DB062B"/>
    <w:rsid w:val="00DB09DC"/>
    <w:rsid w:val="00DB10BC"/>
    <w:rsid w:val="00DB1AF2"/>
    <w:rsid w:val="00DB1C54"/>
    <w:rsid w:val="00DB1CF6"/>
    <w:rsid w:val="00DB2336"/>
    <w:rsid w:val="00DB3877"/>
    <w:rsid w:val="00DB3B2D"/>
    <w:rsid w:val="00DB3DC7"/>
    <w:rsid w:val="00DB4159"/>
    <w:rsid w:val="00DB4364"/>
    <w:rsid w:val="00DB50D0"/>
    <w:rsid w:val="00DB5D38"/>
    <w:rsid w:val="00DB5DD4"/>
    <w:rsid w:val="00DB6278"/>
    <w:rsid w:val="00DB6B75"/>
    <w:rsid w:val="00DB6D37"/>
    <w:rsid w:val="00DC152E"/>
    <w:rsid w:val="00DC1D6E"/>
    <w:rsid w:val="00DC2842"/>
    <w:rsid w:val="00DC2E08"/>
    <w:rsid w:val="00DC34C8"/>
    <w:rsid w:val="00DC3881"/>
    <w:rsid w:val="00DC4112"/>
    <w:rsid w:val="00DC4B24"/>
    <w:rsid w:val="00DC4BD4"/>
    <w:rsid w:val="00DC5414"/>
    <w:rsid w:val="00DC5D9F"/>
    <w:rsid w:val="00DC637F"/>
    <w:rsid w:val="00DC66B7"/>
    <w:rsid w:val="00DC6863"/>
    <w:rsid w:val="00DC6A49"/>
    <w:rsid w:val="00DC72A9"/>
    <w:rsid w:val="00DC73B1"/>
    <w:rsid w:val="00DD0313"/>
    <w:rsid w:val="00DD063E"/>
    <w:rsid w:val="00DD149F"/>
    <w:rsid w:val="00DD170F"/>
    <w:rsid w:val="00DD1CE2"/>
    <w:rsid w:val="00DD2AA8"/>
    <w:rsid w:val="00DD4780"/>
    <w:rsid w:val="00DD4784"/>
    <w:rsid w:val="00DD480F"/>
    <w:rsid w:val="00DD4EFB"/>
    <w:rsid w:val="00DD5683"/>
    <w:rsid w:val="00DD5D9B"/>
    <w:rsid w:val="00DD6076"/>
    <w:rsid w:val="00DD62C9"/>
    <w:rsid w:val="00DD6951"/>
    <w:rsid w:val="00DD6BD8"/>
    <w:rsid w:val="00DD6C56"/>
    <w:rsid w:val="00DD6CBB"/>
    <w:rsid w:val="00DD72A2"/>
    <w:rsid w:val="00DD755E"/>
    <w:rsid w:val="00DE088D"/>
    <w:rsid w:val="00DE0D87"/>
    <w:rsid w:val="00DE1F7B"/>
    <w:rsid w:val="00DE2FB2"/>
    <w:rsid w:val="00DE360E"/>
    <w:rsid w:val="00DE371B"/>
    <w:rsid w:val="00DE3F6A"/>
    <w:rsid w:val="00DE487E"/>
    <w:rsid w:val="00DE48C3"/>
    <w:rsid w:val="00DE4A21"/>
    <w:rsid w:val="00DE577C"/>
    <w:rsid w:val="00DE5791"/>
    <w:rsid w:val="00DE5A6C"/>
    <w:rsid w:val="00DE5EB3"/>
    <w:rsid w:val="00DE63D8"/>
    <w:rsid w:val="00DE6559"/>
    <w:rsid w:val="00DE6C39"/>
    <w:rsid w:val="00DE6E93"/>
    <w:rsid w:val="00DE7730"/>
    <w:rsid w:val="00DF07CE"/>
    <w:rsid w:val="00DF0806"/>
    <w:rsid w:val="00DF08CD"/>
    <w:rsid w:val="00DF13BA"/>
    <w:rsid w:val="00DF13F7"/>
    <w:rsid w:val="00DF1736"/>
    <w:rsid w:val="00DF20A6"/>
    <w:rsid w:val="00DF22BB"/>
    <w:rsid w:val="00DF2A50"/>
    <w:rsid w:val="00DF3375"/>
    <w:rsid w:val="00DF3729"/>
    <w:rsid w:val="00DF4F1F"/>
    <w:rsid w:val="00DF5CAA"/>
    <w:rsid w:val="00DF683A"/>
    <w:rsid w:val="00DF689C"/>
    <w:rsid w:val="00DF6A3E"/>
    <w:rsid w:val="00DF6AEF"/>
    <w:rsid w:val="00DF6EBB"/>
    <w:rsid w:val="00DF6FD3"/>
    <w:rsid w:val="00DF70F4"/>
    <w:rsid w:val="00DF76E3"/>
    <w:rsid w:val="00E0001D"/>
    <w:rsid w:val="00E0093E"/>
    <w:rsid w:val="00E01793"/>
    <w:rsid w:val="00E018AD"/>
    <w:rsid w:val="00E01F87"/>
    <w:rsid w:val="00E02DA5"/>
    <w:rsid w:val="00E02F86"/>
    <w:rsid w:val="00E03864"/>
    <w:rsid w:val="00E039EE"/>
    <w:rsid w:val="00E043D7"/>
    <w:rsid w:val="00E04568"/>
    <w:rsid w:val="00E05057"/>
    <w:rsid w:val="00E051E9"/>
    <w:rsid w:val="00E05E1E"/>
    <w:rsid w:val="00E06146"/>
    <w:rsid w:val="00E06A3B"/>
    <w:rsid w:val="00E0739F"/>
    <w:rsid w:val="00E07B70"/>
    <w:rsid w:val="00E11911"/>
    <w:rsid w:val="00E1206B"/>
    <w:rsid w:val="00E1264A"/>
    <w:rsid w:val="00E1403D"/>
    <w:rsid w:val="00E15850"/>
    <w:rsid w:val="00E16DD7"/>
    <w:rsid w:val="00E16DE2"/>
    <w:rsid w:val="00E16FCB"/>
    <w:rsid w:val="00E1705A"/>
    <w:rsid w:val="00E2017B"/>
    <w:rsid w:val="00E204C7"/>
    <w:rsid w:val="00E2076A"/>
    <w:rsid w:val="00E21B28"/>
    <w:rsid w:val="00E2205D"/>
    <w:rsid w:val="00E2294F"/>
    <w:rsid w:val="00E23FA4"/>
    <w:rsid w:val="00E2413C"/>
    <w:rsid w:val="00E242BF"/>
    <w:rsid w:val="00E25000"/>
    <w:rsid w:val="00E2522C"/>
    <w:rsid w:val="00E252F1"/>
    <w:rsid w:val="00E25753"/>
    <w:rsid w:val="00E259B1"/>
    <w:rsid w:val="00E25C1C"/>
    <w:rsid w:val="00E25D5A"/>
    <w:rsid w:val="00E25EFF"/>
    <w:rsid w:val="00E26373"/>
    <w:rsid w:val="00E2652D"/>
    <w:rsid w:val="00E2683F"/>
    <w:rsid w:val="00E27661"/>
    <w:rsid w:val="00E276B5"/>
    <w:rsid w:val="00E31607"/>
    <w:rsid w:val="00E33141"/>
    <w:rsid w:val="00E339AD"/>
    <w:rsid w:val="00E339BA"/>
    <w:rsid w:val="00E33F12"/>
    <w:rsid w:val="00E34592"/>
    <w:rsid w:val="00E34817"/>
    <w:rsid w:val="00E348C6"/>
    <w:rsid w:val="00E35270"/>
    <w:rsid w:val="00E363C0"/>
    <w:rsid w:val="00E364C1"/>
    <w:rsid w:val="00E3687B"/>
    <w:rsid w:val="00E36E62"/>
    <w:rsid w:val="00E372D9"/>
    <w:rsid w:val="00E37539"/>
    <w:rsid w:val="00E375BD"/>
    <w:rsid w:val="00E3764B"/>
    <w:rsid w:val="00E40613"/>
    <w:rsid w:val="00E4169A"/>
    <w:rsid w:val="00E41822"/>
    <w:rsid w:val="00E41A14"/>
    <w:rsid w:val="00E42647"/>
    <w:rsid w:val="00E426D7"/>
    <w:rsid w:val="00E43128"/>
    <w:rsid w:val="00E43BA1"/>
    <w:rsid w:val="00E44CA7"/>
    <w:rsid w:val="00E46166"/>
    <w:rsid w:val="00E47FF7"/>
    <w:rsid w:val="00E502F7"/>
    <w:rsid w:val="00E507EB"/>
    <w:rsid w:val="00E50AC9"/>
    <w:rsid w:val="00E50C28"/>
    <w:rsid w:val="00E538CA"/>
    <w:rsid w:val="00E53C5D"/>
    <w:rsid w:val="00E54365"/>
    <w:rsid w:val="00E55167"/>
    <w:rsid w:val="00E56264"/>
    <w:rsid w:val="00E566EF"/>
    <w:rsid w:val="00E566FE"/>
    <w:rsid w:val="00E569D0"/>
    <w:rsid w:val="00E57F95"/>
    <w:rsid w:val="00E61608"/>
    <w:rsid w:val="00E622EB"/>
    <w:rsid w:val="00E62514"/>
    <w:rsid w:val="00E63432"/>
    <w:rsid w:val="00E63DAB"/>
    <w:rsid w:val="00E647EC"/>
    <w:rsid w:val="00E66B0F"/>
    <w:rsid w:val="00E66C87"/>
    <w:rsid w:val="00E66D3D"/>
    <w:rsid w:val="00E67314"/>
    <w:rsid w:val="00E678E8"/>
    <w:rsid w:val="00E67CDB"/>
    <w:rsid w:val="00E70A0A"/>
    <w:rsid w:val="00E7178D"/>
    <w:rsid w:val="00E71DD2"/>
    <w:rsid w:val="00E721C4"/>
    <w:rsid w:val="00E72322"/>
    <w:rsid w:val="00E72B2A"/>
    <w:rsid w:val="00E72C86"/>
    <w:rsid w:val="00E730BB"/>
    <w:rsid w:val="00E73A5A"/>
    <w:rsid w:val="00E73D30"/>
    <w:rsid w:val="00E74A44"/>
    <w:rsid w:val="00E74B2F"/>
    <w:rsid w:val="00E75B74"/>
    <w:rsid w:val="00E75E31"/>
    <w:rsid w:val="00E75EB2"/>
    <w:rsid w:val="00E75F12"/>
    <w:rsid w:val="00E76634"/>
    <w:rsid w:val="00E7692A"/>
    <w:rsid w:val="00E775F4"/>
    <w:rsid w:val="00E777BE"/>
    <w:rsid w:val="00E77E4E"/>
    <w:rsid w:val="00E77E9E"/>
    <w:rsid w:val="00E77F3A"/>
    <w:rsid w:val="00E80F94"/>
    <w:rsid w:val="00E81CA8"/>
    <w:rsid w:val="00E82904"/>
    <w:rsid w:val="00E83C21"/>
    <w:rsid w:val="00E83E65"/>
    <w:rsid w:val="00E83FF3"/>
    <w:rsid w:val="00E857E8"/>
    <w:rsid w:val="00E85F73"/>
    <w:rsid w:val="00E86137"/>
    <w:rsid w:val="00E8671B"/>
    <w:rsid w:val="00E86BEF"/>
    <w:rsid w:val="00E86E4F"/>
    <w:rsid w:val="00E87060"/>
    <w:rsid w:val="00E87392"/>
    <w:rsid w:val="00E87733"/>
    <w:rsid w:val="00E87E23"/>
    <w:rsid w:val="00E907A9"/>
    <w:rsid w:val="00E90AEA"/>
    <w:rsid w:val="00E90D97"/>
    <w:rsid w:val="00E90DD2"/>
    <w:rsid w:val="00E90DE8"/>
    <w:rsid w:val="00E917C0"/>
    <w:rsid w:val="00E9220D"/>
    <w:rsid w:val="00E94153"/>
    <w:rsid w:val="00E9445E"/>
    <w:rsid w:val="00E9475B"/>
    <w:rsid w:val="00E94847"/>
    <w:rsid w:val="00E94CA7"/>
    <w:rsid w:val="00E94D10"/>
    <w:rsid w:val="00E95766"/>
    <w:rsid w:val="00E95A78"/>
    <w:rsid w:val="00E96CF4"/>
    <w:rsid w:val="00EA00DB"/>
    <w:rsid w:val="00EA05A7"/>
    <w:rsid w:val="00EA2B04"/>
    <w:rsid w:val="00EA2ED3"/>
    <w:rsid w:val="00EA3288"/>
    <w:rsid w:val="00EA3895"/>
    <w:rsid w:val="00EA4F9D"/>
    <w:rsid w:val="00EA51EF"/>
    <w:rsid w:val="00EA57D4"/>
    <w:rsid w:val="00EA5DC3"/>
    <w:rsid w:val="00EB0861"/>
    <w:rsid w:val="00EB1291"/>
    <w:rsid w:val="00EB1CFA"/>
    <w:rsid w:val="00EB265B"/>
    <w:rsid w:val="00EB3D6A"/>
    <w:rsid w:val="00EB4F89"/>
    <w:rsid w:val="00EB5306"/>
    <w:rsid w:val="00EB60F4"/>
    <w:rsid w:val="00EB67CA"/>
    <w:rsid w:val="00EB69CF"/>
    <w:rsid w:val="00EB7FF8"/>
    <w:rsid w:val="00EC031A"/>
    <w:rsid w:val="00EC08B0"/>
    <w:rsid w:val="00EC0937"/>
    <w:rsid w:val="00EC0F70"/>
    <w:rsid w:val="00EC1196"/>
    <w:rsid w:val="00EC17B2"/>
    <w:rsid w:val="00EC1C93"/>
    <w:rsid w:val="00EC1EA3"/>
    <w:rsid w:val="00EC2423"/>
    <w:rsid w:val="00EC2783"/>
    <w:rsid w:val="00EC39E6"/>
    <w:rsid w:val="00EC4012"/>
    <w:rsid w:val="00EC5A88"/>
    <w:rsid w:val="00EC5C97"/>
    <w:rsid w:val="00EC6CB7"/>
    <w:rsid w:val="00EC6E7F"/>
    <w:rsid w:val="00EC75F8"/>
    <w:rsid w:val="00EC7963"/>
    <w:rsid w:val="00ED00FB"/>
    <w:rsid w:val="00ED022F"/>
    <w:rsid w:val="00ED12B8"/>
    <w:rsid w:val="00ED14E0"/>
    <w:rsid w:val="00ED175E"/>
    <w:rsid w:val="00ED1AB0"/>
    <w:rsid w:val="00ED1C64"/>
    <w:rsid w:val="00ED2FEE"/>
    <w:rsid w:val="00ED350E"/>
    <w:rsid w:val="00ED35C6"/>
    <w:rsid w:val="00ED3B46"/>
    <w:rsid w:val="00ED3F7B"/>
    <w:rsid w:val="00ED454B"/>
    <w:rsid w:val="00ED492B"/>
    <w:rsid w:val="00ED50A6"/>
    <w:rsid w:val="00ED62B1"/>
    <w:rsid w:val="00ED6366"/>
    <w:rsid w:val="00ED6749"/>
    <w:rsid w:val="00ED7D80"/>
    <w:rsid w:val="00ED7EB7"/>
    <w:rsid w:val="00EE0B94"/>
    <w:rsid w:val="00EE171E"/>
    <w:rsid w:val="00EE17E9"/>
    <w:rsid w:val="00EE1BB8"/>
    <w:rsid w:val="00EE1F3B"/>
    <w:rsid w:val="00EE2240"/>
    <w:rsid w:val="00EE2727"/>
    <w:rsid w:val="00EE274D"/>
    <w:rsid w:val="00EE27A3"/>
    <w:rsid w:val="00EE3992"/>
    <w:rsid w:val="00EE3B8C"/>
    <w:rsid w:val="00EE4269"/>
    <w:rsid w:val="00EE45F4"/>
    <w:rsid w:val="00EE4661"/>
    <w:rsid w:val="00EE49A3"/>
    <w:rsid w:val="00EE5006"/>
    <w:rsid w:val="00EE5C22"/>
    <w:rsid w:val="00EE740B"/>
    <w:rsid w:val="00EF17D5"/>
    <w:rsid w:val="00EF1F19"/>
    <w:rsid w:val="00EF2355"/>
    <w:rsid w:val="00EF47BD"/>
    <w:rsid w:val="00EF4DDE"/>
    <w:rsid w:val="00EF562D"/>
    <w:rsid w:val="00EF69F5"/>
    <w:rsid w:val="00EF6C96"/>
    <w:rsid w:val="00EF75E2"/>
    <w:rsid w:val="00EF7B5F"/>
    <w:rsid w:val="00F001F6"/>
    <w:rsid w:val="00F00475"/>
    <w:rsid w:val="00F00542"/>
    <w:rsid w:val="00F00FB5"/>
    <w:rsid w:val="00F01151"/>
    <w:rsid w:val="00F011FB"/>
    <w:rsid w:val="00F02603"/>
    <w:rsid w:val="00F02833"/>
    <w:rsid w:val="00F02F30"/>
    <w:rsid w:val="00F04729"/>
    <w:rsid w:val="00F047F1"/>
    <w:rsid w:val="00F0481E"/>
    <w:rsid w:val="00F049B1"/>
    <w:rsid w:val="00F04EC2"/>
    <w:rsid w:val="00F05D52"/>
    <w:rsid w:val="00F062FC"/>
    <w:rsid w:val="00F07C2B"/>
    <w:rsid w:val="00F10429"/>
    <w:rsid w:val="00F1078B"/>
    <w:rsid w:val="00F11EBE"/>
    <w:rsid w:val="00F11FA9"/>
    <w:rsid w:val="00F12050"/>
    <w:rsid w:val="00F1308F"/>
    <w:rsid w:val="00F133A3"/>
    <w:rsid w:val="00F136CC"/>
    <w:rsid w:val="00F153DC"/>
    <w:rsid w:val="00F15B0D"/>
    <w:rsid w:val="00F15D2D"/>
    <w:rsid w:val="00F164E1"/>
    <w:rsid w:val="00F16522"/>
    <w:rsid w:val="00F16E5A"/>
    <w:rsid w:val="00F20CCE"/>
    <w:rsid w:val="00F21FE1"/>
    <w:rsid w:val="00F2247B"/>
    <w:rsid w:val="00F225C7"/>
    <w:rsid w:val="00F226FC"/>
    <w:rsid w:val="00F2302E"/>
    <w:rsid w:val="00F2394A"/>
    <w:rsid w:val="00F239D5"/>
    <w:rsid w:val="00F23A21"/>
    <w:rsid w:val="00F23A75"/>
    <w:rsid w:val="00F24215"/>
    <w:rsid w:val="00F249CD"/>
    <w:rsid w:val="00F2646D"/>
    <w:rsid w:val="00F26531"/>
    <w:rsid w:val="00F265E0"/>
    <w:rsid w:val="00F276A3"/>
    <w:rsid w:val="00F277E1"/>
    <w:rsid w:val="00F329B5"/>
    <w:rsid w:val="00F3362A"/>
    <w:rsid w:val="00F33C44"/>
    <w:rsid w:val="00F340E8"/>
    <w:rsid w:val="00F34FB8"/>
    <w:rsid w:val="00F35B6E"/>
    <w:rsid w:val="00F35EDF"/>
    <w:rsid w:val="00F36757"/>
    <w:rsid w:val="00F36D6F"/>
    <w:rsid w:val="00F37A10"/>
    <w:rsid w:val="00F37B3F"/>
    <w:rsid w:val="00F37F0B"/>
    <w:rsid w:val="00F419D5"/>
    <w:rsid w:val="00F41CE5"/>
    <w:rsid w:val="00F41E33"/>
    <w:rsid w:val="00F41FC6"/>
    <w:rsid w:val="00F41FD6"/>
    <w:rsid w:val="00F4216B"/>
    <w:rsid w:val="00F4217F"/>
    <w:rsid w:val="00F42FE1"/>
    <w:rsid w:val="00F430C1"/>
    <w:rsid w:val="00F432EB"/>
    <w:rsid w:val="00F43BF5"/>
    <w:rsid w:val="00F43E33"/>
    <w:rsid w:val="00F460D1"/>
    <w:rsid w:val="00F46F0B"/>
    <w:rsid w:val="00F47AC5"/>
    <w:rsid w:val="00F47ACA"/>
    <w:rsid w:val="00F505D2"/>
    <w:rsid w:val="00F50E85"/>
    <w:rsid w:val="00F50FA7"/>
    <w:rsid w:val="00F51DE3"/>
    <w:rsid w:val="00F52A55"/>
    <w:rsid w:val="00F549B9"/>
    <w:rsid w:val="00F54B7D"/>
    <w:rsid w:val="00F55284"/>
    <w:rsid w:val="00F55654"/>
    <w:rsid w:val="00F5566D"/>
    <w:rsid w:val="00F56334"/>
    <w:rsid w:val="00F57AD1"/>
    <w:rsid w:val="00F57C67"/>
    <w:rsid w:val="00F61070"/>
    <w:rsid w:val="00F61164"/>
    <w:rsid w:val="00F61D22"/>
    <w:rsid w:val="00F62728"/>
    <w:rsid w:val="00F637C6"/>
    <w:rsid w:val="00F6492D"/>
    <w:rsid w:val="00F65311"/>
    <w:rsid w:val="00F65AEB"/>
    <w:rsid w:val="00F66272"/>
    <w:rsid w:val="00F675B5"/>
    <w:rsid w:val="00F718B3"/>
    <w:rsid w:val="00F71F93"/>
    <w:rsid w:val="00F73827"/>
    <w:rsid w:val="00F740FC"/>
    <w:rsid w:val="00F74321"/>
    <w:rsid w:val="00F757DA"/>
    <w:rsid w:val="00F75BB4"/>
    <w:rsid w:val="00F764EB"/>
    <w:rsid w:val="00F7696F"/>
    <w:rsid w:val="00F76B9D"/>
    <w:rsid w:val="00F76D0F"/>
    <w:rsid w:val="00F76E34"/>
    <w:rsid w:val="00F76F20"/>
    <w:rsid w:val="00F77A2C"/>
    <w:rsid w:val="00F8050C"/>
    <w:rsid w:val="00F807DB"/>
    <w:rsid w:val="00F80EC0"/>
    <w:rsid w:val="00F8155A"/>
    <w:rsid w:val="00F822AD"/>
    <w:rsid w:val="00F82CA7"/>
    <w:rsid w:val="00F837C8"/>
    <w:rsid w:val="00F83F3D"/>
    <w:rsid w:val="00F84029"/>
    <w:rsid w:val="00F8408F"/>
    <w:rsid w:val="00F847A1"/>
    <w:rsid w:val="00F84E43"/>
    <w:rsid w:val="00F84FA2"/>
    <w:rsid w:val="00F8508C"/>
    <w:rsid w:val="00F857D8"/>
    <w:rsid w:val="00F858C1"/>
    <w:rsid w:val="00F85C55"/>
    <w:rsid w:val="00F85ECC"/>
    <w:rsid w:val="00F8684A"/>
    <w:rsid w:val="00F86B33"/>
    <w:rsid w:val="00F86F27"/>
    <w:rsid w:val="00F90095"/>
    <w:rsid w:val="00F90A3B"/>
    <w:rsid w:val="00F90AA3"/>
    <w:rsid w:val="00F917C0"/>
    <w:rsid w:val="00F918AB"/>
    <w:rsid w:val="00F926BD"/>
    <w:rsid w:val="00F927E2"/>
    <w:rsid w:val="00F93335"/>
    <w:rsid w:val="00F93B20"/>
    <w:rsid w:val="00F93E8E"/>
    <w:rsid w:val="00F93E95"/>
    <w:rsid w:val="00F9472B"/>
    <w:rsid w:val="00F955BE"/>
    <w:rsid w:val="00F9694D"/>
    <w:rsid w:val="00F969E8"/>
    <w:rsid w:val="00F971E3"/>
    <w:rsid w:val="00F97402"/>
    <w:rsid w:val="00FA1548"/>
    <w:rsid w:val="00FA1576"/>
    <w:rsid w:val="00FA184B"/>
    <w:rsid w:val="00FA209E"/>
    <w:rsid w:val="00FA2EB2"/>
    <w:rsid w:val="00FA2EF0"/>
    <w:rsid w:val="00FA3460"/>
    <w:rsid w:val="00FA414A"/>
    <w:rsid w:val="00FA478F"/>
    <w:rsid w:val="00FA4B84"/>
    <w:rsid w:val="00FA4EBF"/>
    <w:rsid w:val="00FA598B"/>
    <w:rsid w:val="00FA5A7D"/>
    <w:rsid w:val="00FA6208"/>
    <w:rsid w:val="00FA69BD"/>
    <w:rsid w:val="00FA7073"/>
    <w:rsid w:val="00FA7906"/>
    <w:rsid w:val="00FB0292"/>
    <w:rsid w:val="00FB0BEA"/>
    <w:rsid w:val="00FB192F"/>
    <w:rsid w:val="00FB1F4A"/>
    <w:rsid w:val="00FB26AB"/>
    <w:rsid w:val="00FB2A01"/>
    <w:rsid w:val="00FB4801"/>
    <w:rsid w:val="00FB4A64"/>
    <w:rsid w:val="00FB54EF"/>
    <w:rsid w:val="00FB5D8C"/>
    <w:rsid w:val="00FB70F4"/>
    <w:rsid w:val="00FB7F92"/>
    <w:rsid w:val="00FC0350"/>
    <w:rsid w:val="00FC0F8F"/>
    <w:rsid w:val="00FC1013"/>
    <w:rsid w:val="00FC2ED8"/>
    <w:rsid w:val="00FC3C10"/>
    <w:rsid w:val="00FC442E"/>
    <w:rsid w:val="00FC453E"/>
    <w:rsid w:val="00FC476C"/>
    <w:rsid w:val="00FC48D6"/>
    <w:rsid w:val="00FC54E3"/>
    <w:rsid w:val="00FC562C"/>
    <w:rsid w:val="00FC5719"/>
    <w:rsid w:val="00FC62C5"/>
    <w:rsid w:val="00FC7275"/>
    <w:rsid w:val="00FC7392"/>
    <w:rsid w:val="00FC7C50"/>
    <w:rsid w:val="00FC7EF4"/>
    <w:rsid w:val="00FD0802"/>
    <w:rsid w:val="00FD11BD"/>
    <w:rsid w:val="00FD1572"/>
    <w:rsid w:val="00FD1CFF"/>
    <w:rsid w:val="00FD1DBA"/>
    <w:rsid w:val="00FD1ED3"/>
    <w:rsid w:val="00FD205D"/>
    <w:rsid w:val="00FD2FE5"/>
    <w:rsid w:val="00FD36B5"/>
    <w:rsid w:val="00FD4583"/>
    <w:rsid w:val="00FD4C1D"/>
    <w:rsid w:val="00FD50BB"/>
    <w:rsid w:val="00FD6743"/>
    <w:rsid w:val="00FD6990"/>
    <w:rsid w:val="00FD6B72"/>
    <w:rsid w:val="00FD6ED2"/>
    <w:rsid w:val="00FD7992"/>
    <w:rsid w:val="00FE0365"/>
    <w:rsid w:val="00FE0714"/>
    <w:rsid w:val="00FE0A1E"/>
    <w:rsid w:val="00FE180D"/>
    <w:rsid w:val="00FE1A92"/>
    <w:rsid w:val="00FE2AF8"/>
    <w:rsid w:val="00FE2DB2"/>
    <w:rsid w:val="00FE3009"/>
    <w:rsid w:val="00FE34C7"/>
    <w:rsid w:val="00FE4497"/>
    <w:rsid w:val="00FE49A9"/>
    <w:rsid w:val="00FE5889"/>
    <w:rsid w:val="00FE5C4C"/>
    <w:rsid w:val="00FE6534"/>
    <w:rsid w:val="00FE6D9B"/>
    <w:rsid w:val="00FE7FBB"/>
    <w:rsid w:val="00FF0356"/>
    <w:rsid w:val="00FF04C1"/>
    <w:rsid w:val="00FF0B8D"/>
    <w:rsid w:val="00FF17DB"/>
    <w:rsid w:val="00FF21C0"/>
    <w:rsid w:val="00FF2414"/>
    <w:rsid w:val="00FF3BE8"/>
    <w:rsid w:val="00FF3D17"/>
    <w:rsid w:val="00FF3D7E"/>
    <w:rsid w:val="00FF415A"/>
    <w:rsid w:val="00FF4C41"/>
    <w:rsid w:val="00FF4D77"/>
    <w:rsid w:val="00FF4F37"/>
    <w:rsid w:val="00FF505B"/>
    <w:rsid w:val="00FF636A"/>
    <w:rsid w:val="010B405F"/>
    <w:rsid w:val="01A95AA3"/>
    <w:rsid w:val="01F33470"/>
    <w:rsid w:val="02534464"/>
    <w:rsid w:val="025407BC"/>
    <w:rsid w:val="02581525"/>
    <w:rsid w:val="02F86F34"/>
    <w:rsid w:val="02FA438B"/>
    <w:rsid w:val="030A6CC4"/>
    <w:rsid w:val="03200295"/>
    <w:rsid w:val="03372728"/>
    <w:rsid w:val="038F2C12"/>
    <w:rsid w:val="03904209"/>
    <w:rsid w:val="04020700"/>
    <w:rsid w:val="040D7626"/>
    <w:rsid w:val="047F0FEB"/>
    <w:rsid w:val="05EA6938"/>
    <w:rsid w:val="065B5A88"/>
    <w:rsid w:val="06C87774"/>
    <w:rsid w:val="06C929F2"/>
    <w:rsid w:val="07AF4D09"/>
    <w:rsid w:val="07BC2556"/>
    <w:rsid w:val="07D11BF2"/>
    <w:rsid w:val="08F71A98"/>
    <w:rsid w:val="090500A3"/>
    <w:rsid w:val="092959CA"/>
    <w:rsid w:val="093E76C7"/>
    <w:rsid w:val="09972933"/>
    <w:rsid w:val="0A0676F4"/>
    <w:rsid w:val="0A116B8A"/>
    <w:rsid w:val="0A432CD8"/>
    <w:rsid w:val="0A615F1A"/>
    <w:rsid w:val="0A6F4382"/>
    <w:rsid w:val="0AAF1EFF"/>
    <w:rsid w:val="0BAF617B"/>
    <w:rsid w:val="0BCB1C9E"/>
    <w:rsid w:val="0BEF5C9E"/>
    <w:rsid w:val="0C62191E"/>
    <w:rsid w:val="0C64235A"/>
    <w:rsid w:val="0CC9374C"/>
    <w:rsid w:val="0CE03143"/>
    <w:rsid w:val="0D166265"/>
    <w:rsid w:val="0D230EFA"/>
    <w:rsid w:val="0D780CCE"/>
    <w:rsid w:val="0DB901D4"/>
    <w:rsid w:val="0E51617F"/>
    <w:rsid w:val="0E686A3B"/>
    <w:rsid w:val="0E8F092D"/>
    <w:rsid w:val="0EA75DC9"/>
    <w:rsid w:val="0EC15FF0"/>
    <w:rsid w:val="0F6972E3"/>
    <w:rsid w:val="0F931DEF"/>
    <w:rsid w:val="0FA04C32"/>
    <w:rsid w:val="10723DDF"/>
    <w:rsid w:val="108872A7"/>
    <w:rsid w:val="10E00DC3"/>
    <w:rsid w:val="118C77A6"/>
    <w:rsid w:val="120F273B"/>
    <w:rsid w:val="1246139A"/>
    <w:rsid w:val="12753A2E"/>
    <w:rsid w:val="12A12A75"/>
    <w:rsid w:val="12AC38F3"/>
    <w:rsid w:val="12C51505"/>
    <w:rsid w:val="13967F39"/>
    <w:rsid w:val="148B2EBE"/>
    <w:rsid w:val="15442C48"/>
    <w:rsid w:val="15E74C42"/>
    <w:rsid w:val="16077093"/>
    <w:rsid w:val="162B672A"/>
    <w:rsid w:val="164976AB"/>
    <w:rsid w:val="165C73DE"/>
    <w:rsid w:val="16846935"/>
    <w:rsid w:val="168B1A72"/>
    <w:rsid w:val="16C46D32"/>
    <w:rsid w:val="17127190"/>
    <w:rsid w:val="171E6442"/>
    <w:rsid w:val="17214184"/>
    <w:rsid w:val="175F45F2"/>
    <w:rsid w:val="177857E8"/>
    <w:rsid w:val="18532B30"/>
    <w:rsid w:val="18CF3767"/>
    <w:rsid w:val="18D9574A"/>
    <w:rsid w:val="18F558C8"/>
    <w:rsid w:val="19134653"/>
    <w:rsid w:val="19404D95"/>
    <w:rsid w:val="19C86B39"/>
    <w:rsid w:val="19D95497"/>
    <w:rsid w:val="19FD2C86"/>
    <w:rsid w:val="1AF56DE4"/>
    <w:rsid w:val="1B193AF0"/>
    <w:rsid w:val="1B4B018A"/>
    <w:rsid w:val="1B512914"/>
    <w:rsid w:val="1B662AAD"/>
    <w:rsid w:val="1BFB1448"/>
    <w:rsid w:val="1C5C336C"/>
    <w:rsid w:val="1D1B65B7"/>
    <w:rsid w:val="1DA6D1E3"/>
    <w:rsid w:val="1DA77EE7"/>
    <w:rsid w:val="1E5815DB"/>
    <w:rsid w:val="1E944404"/>
    <w:rsid w:val="1F375A6E"/>
    <w:rsid w:val="1F95570F"/>
    <w:rsid w:val="1FB55659"/>
    <w:rsid w:val="20000DDB"/>
    <w:rsid w:val="20201D56"/>
    <w:rsid w:val="20574410"/>
    <w:rsid w:val="20607ACB"/>
    <w:rsid w:val="20711CD8"/>
    <w:rsid w:val="208F41F5"/>
    <w:rsid w:val="20A93B32"/>
    <w:rsid w:val="20B77599"/>
    <w:rsid w:val="20D42DE8"/>
    <w:rsid w:val="20D81004"/>
    <w:rsid w:val="20E71F9A"/>
    <w:rsid w:val="21286AD6"/>
    <w:rsid w:val="212D0306"/>
    <w:rsid w:val="217F303F"/>
    <w:rsid w:val="21EC1E61"/>
    <w:rsid w:val="2237626B"/>
    <w:rsid w:val="224005CF"/>
    <w:rsid w:val="2242568B"/>
    <w:rsid w:val="22A36624"/>
    <w:rsid w:val="22C00CF5"/>
    <w:rsid w:val="22DB78DD"/>
    <w:rsid w:val="231150AD"/>
    <w:rsid w:val="23904568"/>
    <w:rsid w:val="23E26A49"/>
    <w:rsid w:val="24F829C8"/>
    <w:rsid w:val="255F0D4F"/>
    <w:rsid w:val="256D543D"/>
    <w:rsid w:val="2584600A"/>
    <w:rsid w:val="25972C58"/>
    <w:rsid w:val="25A62FB3"/>
    <w:rsid w:val="25C31A20"/>
    <w:rsid w:val="25D85E19"/>
    <w:rsid w:val="25F5515A"/>
    <w:rsid w:val="26211043"/>
    <w:rsid w:val="268564DD"/>
    <w:rsid w:val="26870F42"/>
    <w:rsid w:val="26B02A3C"/>
    <w:rsid w:val="26DD7622"/>
    <w:rsid w:val="26E31DBF"/>
    <w:rsid w:val="273D2914"/>
    <w:rsid w:val="275163C0"/>
    <w:rsid w:val="275710D3"/>
    <w:rsid w:val="27664EB0"/>
    <w:rsid w:val="27BC6C27"/>
    <w:rsid w:val="27CC1EEA"/>
    <w:rsid w:val="27E3401A"/>
    <w:rsid w:val="27FE358E"/>
    <w:rsid w:val="285223EF"/>
    <w:rsid w:val="28607398"/>
    <w:rsid w:val="29530713"/>
    <w:rsid w:val="2A27165A"/>
    <w:rsid w:val="2A924D25"/>
    <w:rsid w:val="2B9C62A6"/>
    <w:rsid w:val="2C520C10"/>
    <w:rsid w:val="2C7C7A3B"/>
    <w:rsid w:val="2C8C5C50"/>
    <w:rsid w:val="2D314CC9"/>
    <w:rsid w:val="2D687FBF"/>
    <w:rsid w:val="2D986AF6"/>
    <w:rsid w:val="2DC259B9"/>
    <w:rsid w:val="2E4C6E43"/>
    <w:rsid w:val="2E541E01"/>
    <w:rsid w:val="2EBC1136"/>
    <w:rsid w:val="2EC419DE"/>
    <w:rsid w:val="2EC82113"/>
    <w:rsid w:val="2ECD27D0"/>
    <w:rsid w:val="2F10090E"/>
    <w:rsid w:val="2F2C6819"/>
    <w:rsid w:val="2F496768"/>
    <w:rsid w:val="2FAC49E2"/>
    <w:rsid w:val="2FF1091B"/>
    <w:rsid w:val="300A51CF"/>
    <w:rsid w:val="300B53F0"/>
    <w:rsid w:val="30731155"/>
    <w:rsid w:val="313D446C"/>
    <w:rsid w:val="31546562"/>
    <w:rsid w:val="316136A3"/>
    <w:rsid w:val="31D545A4"/>
    <w:rsid w:val="321021E6"/>
    <w:rsid w:val="32D13BDA"/>
    <w:rsid w:val="32F02F31"/>
    <w:rsid w:val="330E33B7"/>
    <w:rsid w:val="33595981"/>
    <w:rsid w:val="33AC1B75"/>
    <w:rsid w:val="34360E17"/>
    <w:rsid w:val="3478581C"/>
    <w:rsid w:val="34ED6892"/>
    <w:rsid w:val="34F82570"/>
    <w:rsid w:val="35037522"/>
    <w:rsid w:val="35217593"/>
    <w:rsid w:val="35385385"/>
    <w:rsid w:val="35B00755"/>
    <w:rsid w:val="360066EB"/>
    <w:rsid w:val="360F3492"/>
    <w:rsid w:val="362B4280"/>
    <w:rsid w:val="36796661"/>
    <w:rsid w:val="36813E23"/>
    <w:rsid w:val="36861A98"/>
    <w:rsid w:val="36BA1FDB"/>
    <w:rsid w:val="36E032BC"/>
    <w:rsid w:val="36F67597"/>
    <w:rsid w:val="370B658B"/>
    <w:rsid w:val="375863B9"/>
    <w:rsid w:val="377D6D5D"/>
    <w:rsid w:val="377E4FAF"/>
    <w:rsid w:val="378F1519"/>
    <w:rsid w:val="37A870C4"/>
    <w:rsid w:val="37C40B11"/>
    <w:rsid w:val="37D44BCF"/>
    <w:rsid w:val="37E50C96"/>
    <w:rsid w:val="37FE39FA"/>
    <w:rsid w:val="38146732"/>
    <w:rsid w:val="383D7199"/>
    <w:rsid w:val="385775AE"/>
    <w:rsid w:val="38B5434E"/>
    <w:rsid w:val="39333B77"/>
    <w:rsid w:val="3971644D"/>
    <w:rsid w:val="398B7B54"/>
    <w:rsid w:val="3A673367"/>
    <w:rsid w:val="3A91551C"/>
    <w:rsid w:val="3B2F04F9"/>
    <w:rsid w:val="3BFF5589"/>
    <w:rsid w:val="3C3858B3"/>
    <w:rsid w:val="3C8A61A4"/>
    <w:rsid w:val="3CBF62E2"/>
    <w:rsid w:val="3CCB1FBA"/>
    <w:rsid w:val="3D0A0A63"/>
    <w:rsid w:val="3E045AE2"/>
    <w:rsid w:val="3E815385"/>
    <w:rsid w:val="3EC139D3"/>
    <w:rsid w:val="3EDB13A4"/>
    <w:rsid w:val="3EE14075"/>
    <w:rsid w:val="3F0F434A"/>
    <w:rsid w:val="3F650802"/>
    <w:rsid w:val="3F656A54"/>
    <w:rsid w:val="3F780536"/>
    <w:rsid w:val="3F7B9242"/>
    <w:rsid w:val="401049D8"/>
    <w:rsid w:val="40431D7B"/>
    <w:rsid w:val="404C166C"/>
    <w:rsid w:val="40823641"/>
    <w:rsid w:val="418C02C8"/>
    <w:rsid w:val="41941C5E"/>
    <w:rsid w:val="419F5581"/>
    <w:rsid w:val="41F14471"/>
    <w:rsid w:val="41FA16D6"/>
    <w:rsid w:val="42656C4B"/>
    <w:rsid w:val="428D3351"/>
    <w:rsid w:val="42B25272"/>
    <w:rsid w:val="42F47BA9"/>
    <w:rsid w:val="43283308"/>
    <w:rsid w:val="43611B7D"/>
    <w:rsid w:val="439A60F8"/>
    <w:rsid w:val="439D4D73"/>
    <w:rsid w:val="441E71D2"/>
    <w:rsid w:val="44A43B7B"/>
    <w:rsid w:val="44BA514C"/>
    <w:rsid w:val="44C246B2"/>
    <w:rsid w:val="44C46630"/>
    <w:rsid w:val="44CF1336"/>
    <w:rsid w:val="45126D36"/>
    <w:rsid w:val="45603F46"/>
    <w:rsid w:val="45DD7344"/>
    <w:rsid w:val="462F4E9F"/>
    <w:rsid w:val="463F0175"/>
    <w:rsid w:val="464047A4"/>
    <w:rsid w:val="46470C62"/>
    <w:rsid w:val="468329E1"/>
    <w:rsid w:val="46937796"/>
    <w:rsid w:val="46A0180D"/>
    <w:rsid w:val="46CF1019"/>
    <w:rsid w:val="46F14329"/>
    <w:rsid w:val="47135BBA"/>
    <w:rsid w:val="48641732"/>
    <w:rsid w:val="48AA5EB9"/>
    <w:rsid w:val="48AF47FD"/>
    <w:rsid w:val="48FA3576"/>
    <w:rsid w:val="4913307D"/>
    <w:rsid w:val="49197710"/>
    <w:rsid w:val="498B3D87"/>
    <w:rsid w:val="49EA64D4"/>
    <w:rsid w:val="4A2F2216"/>
    <w:rsid w:val="4A7C3D0F"/>
    <w:rsid w:val="4A8F2BD7"/>
    <w:rsid w:val="4A9F25A2"/>
    <w:rsid w:val="4AA30431"/>
    <w:rsid w:val="4ACF01FD"/>
    <w:rsid w:val="4BD50ABE"/>
    <w:rsid w:val="4C2D65D4"/>
    <w:rsid w:val="4C4A14AC"/>
    <w:rsid w:val="4C573B9F"/>
    <w:rsid w:val="4C5E0AB3"/>
    <w:rsid w:val="4C9945A0"/>
    <w:rsid w:val="4CDD6179"/>
    <w:rsid w:val="4DA86D76"/>
    <w:rsid w:val="4DB34E2F"/>
    <w:rsid w:val="4DC96400"/>
    <w:rsid w:val="4DDA23BB"/>
    <w:rsid w:val="4DE33966"/>
    <w:rsid w:val="4DF53699"/>
    <w:rsid w:val="4E165AE9"/>
    <w:rsid w:val="4E4D354B"/>
    <w:rsid w:val="4E7C2057"/>
    <w:rsid w:val="4F122438"/>
    <w:rsid w:val="4F167678"/>
    <w:rsid w:val="4F3EA21F"/>
    <w:rsid w:val="4FA2515B"/>
    <w:rsid w:val="4FE17A31"/>
    <w:rsid w:val="5025551A"/>
    <w:rsid w:val="5059611B"/>
    <w:rsid w:val="507000EB"/>
    <w:rsid w:val="512027DB"/>
    <w:rsid w:val="51C615D4"/>
    <w:rsid w:val="51E43809"/>
    <w:rsid w:val="52651ACB"/>
    <w:rsid w:val="52825E86"/>
    <w:rsid w:val="530A7AF5"/>
    <w:rsid w:val="53A31E4E"/>
    <w:rsid w:val="53A45945"/>
    <w:rsid w:val="53C1637F"/>
    <w:rsid w:val="53CA1459"/>
    <w:rsid w:val="53E35CFB"/>
    <w:rsid w:val="54071B43"/>
    <w:rsid w:val="541C3238"/>
    <w:rsid w:val="5490618D"/>
    <w:rsid w:val="55256108"/>
    <w:rsid w:val="552A2CF0"/>
    <w:rsid w:val="554F6145"/>
    <w:rsid w:val="556F017C"/>
    <w:rsid w:val="55A4705B"/>
    <w:rsid w:val="55ED745A"/>
    <w:rsid w:val="56C34C09"/>
    <w:rsid w:val="57045E05"/>
    <w:rsid w:val="575309C0"/>
    <w:rsid w:val="57D62FB1"/>
    <w:rsid w:val="5814296E"/>
    <w:rsid w:val="58D43AEF"/>
    <w:rsid w:val="58DC7930"/>
    <w:rsid w:val="58E646CE"/>
    <w:rsid w:val="58FF3DD8"/>
    <w:rsid w:val="59E545C2"/>
    <w:rsid w:val="59FE0676"/>
    <w:rsid w:val="5AA86F33"/>
    <w:rsid w:val="5B101B12"/>
    <w:rsid w:val="5B3C46B5"/>
    <w:rsid w:val="5BA32ED4"/>
    <w:rsid w:val="5BA56D53"/>
    <w:rsid w:val="5BCB4964"/>
    <w:rsid w:val="5C3A23F1"/>
    <w:rsid w:val="5CDC07BF"/>
    <w:rsid w:val="5CDD3C76"/>
    <w:rsid w:val="5D685312"/>
    <w:rsid w:val="5D7C5D94"/>
    <w:rsid w:val="5D972330"/>
    <w:rsid w:val="5DCC2FAA"/>
    <w:rsid w:val="5DDC7A8A"/>
    <w:rsid w:val="5E135BA6"/>
    <w:rsid w:val="5E180F16"/>
    <w:rsid w:val="5E6F4DA2"/>
    <w:rsid w:val="5E815B72"/>
    <w:rsid w:val="5F2E6A0B"/>
    <w:rsid w:val="5F3D09FC"/>
    <w:rsid w:val="5F5F6BC4"/>
    <w:rsid w:val="601037F9"/>
    <w:rsid w:val="602C7DE1"/>
    <w:rsid w:val="6043643D"/>
    <w:rsid w:val="604A5472"/>
    <w:rsid w:val="608305FD"/>
    <w:rsid w:val="60AA20C1"/>
    <w:rsid w:val="61161CCB"/>
    <w:rsid w:val="61334785"/>
    <w:rsid w:val="61EA4E6B"/>
    <w:rsid w:val="62534EC1"/>
    <w:rsid w:val="62C84EFE"/>
    <w:rsid w:val="63770981"/>
    <w:rsid w:val="63FA775E"/>
    <w:rsid w:val="63FB2177"/>
    <w:rsid w:val="63FF263E"/>
    <w:rsid w:val="641501A8"/>
    <w:rsid w:val="64375AAD"/>
    <w:rsid w:val="64740A1C"/>
    <w:rsid w:val="649266E7"/>
    <w:rsid w:val="64965354"/>
    <w:rsid w:val="65181E31"/>
    <w:rsid w:val="6559709D"/>
    <w:rsid w:val="65B037D0"/>
    <w:rsid w:val="66411260"/>
    <w:rsid w:val="66AD3908"/>
    <w:rsid w:val="66DE2AC5"/>
    <w:rsid w:val="67271250"/>
    <w:rsid w:val="67FF0F45"/>
    <w:rsid w:val="68142C42"/>
    <w:rsid w:val="6837248C"/>
    <w:rsid w:val="6865349E"/>
    <w:rsid w:val="68770F73"/>
    <w:rsid w:val="687731D1"/>
    <w:rsid w:val="690C3919"/>
    <w:rsid w:val="691E3C7E"/>
    <w:rsid w:val="694C208C"/>
    <w:rsid w:val="6967028F"/>
    <w:rsid w:val="69BB083B"/>
    <w:rsid w:val="69BFF82B"/>
    <w:rsid w:val="69F52B58"/>
    <w:rsid w:val="6A162576"/>
    <w:rsid w:val="6A4471BC"/>
    <w:rsid w:val="6B6714C1"/>
    <w:rsid w:val="6B7A436A"/>
    <w:rsid w:val="6BF30DC0"/>
    <w:rsid w:val="6C2C1B32"/>
    <w:rsid w:val="6C586E75"/>
    <w:rsid w:val="6CC30EEC"/>
    <w:rsid w:val="6CDC3602"/>
    <w:rsid w:val="6CFA2F04"/>
    <w:rsid w:val="6D9E4D5C"/>
    <w:rsid w:val="6E0A419F"/>
    <w:rsid w:val="6E2309D0"/>
    <w:rsid w:val="6E37115E"/>
    <w:rsid w:val="6E557B10"/>
    <w:rsid w:val="6E5A0C83"/>
    <w:rsid w:val="6E7D3DD3"/>
    <w:rsid w:val="6EED3FA6"/>
    <w:rsid w:val="6F1C418A"/>
    <w:rsid w:val="6F2614CE"/>
    <w:rsid w:val="6F307C36"/>
    <w:rsid w:val="6F6D2C38"/>
    <w:rsid w:val="6F963F3C"/>
    <w:rsid w:val="6F9B7134"/>
    <w:rsid w:val="6FA10B33"/>
    <w:rsid w:val="6FC95F39"/>
    <w:rsid w:val="6FD657EE"/>
    <w:rsid w:val="6FE075B7"/>
    <w:rsid w:val="6FE238B2"/>
    <w:rsid w:val="6FFF17A2"/>
    <w:rsid w:val="70B73156"/>
    <w:rsid w:val="70DD3E97"/>
    <w:rsid w:val="715E4F2E"/>
    <w:rsid w:val="720C58E5"/>
    <w:rsid w:val="722745E5"/>
    <w:rsid w:val="7237C469"/>
    <w:rsid w:val="72C10E4D"/>
    <w:rsid w:val="72C320FC"/>
    <w:rsid w:val="73217FC1"/>
    <w:rsid w:val="738F5872"/>
    <w:rsid w:val="73B72D01"/>
    <w:rsid w:val="73F9363E"/>
    <w:rsid w:val="74281823"/>
    <w:rsid w:val="74621F57"/>
    <w:rsid w:val="74DD44A0"/>
    <w:rsid w:val="74E4483E"/>
    <w:rsid w:val="754B3253"/>
    <w:rsid w:val="75BA46FD"/>
    <w:rsid w:val="76446019"/>
    <w:rsid w:val="76CA0970"/>
    <w:rsid w:val="774FCE9D"/>
    <w:rsid w:val="77687E54"/>
    <w:rsid w:val="77690D4B"/>
    <w:rsid w:val="7785AA5A"/>
    <w:rsid w:val="77882D05"/>
    <w:rsid w:val="77B05DB7"/>
    <w:rsid w:val="77EDC5AD"/>
    <w:rsid w:val="77F51A1C"/>
    <w:rsid w:val="78144598"/>
    <w:rsid w:val="786F7A21"/>
    <w:rsid w:val="789D40E8"/>
    <w:rsid w:val="78A33E20"/>
    <w:rsid w:val="793301DC"/>
    <w:rsid w:val="79700FB7"/>
    <w:rsid w:val="7997722F"/>
    <w:rsid w:val="79D044EF"/>
    <w:rsid w:val="7A1E16FE"/>
    <w:rsid w:val="7A510429"/>
    <w:rsid w:val="7A666C01"/>
    <w:rsid w:val="7A730A28"/>
    <w:rsid w:val="7A7B6D35"/>
    <w:rsid w:val="7ABA064B"/>
    <w:rsid w:val="7AC027B5"/>
    <w:rsid w:val="7B486307"/>
    <w:rsid w:val="7B4D3763"/>
    <w:rsid w:val="7B71585E"/>
    <w:rsid w:val="7BA43E85"/>
    <w:rsid w:val="7BF32717"/>
    <w:rsid w:val="7C06244A"/>
    <w:rsid w:val="7C2454E2"/>
    <w:rsid w:val="7C2E3131"/>
    <w:rsid w:val="7C372603"/>
    <w:rsid w:val="7C7F31FF"/>
    <w:rsid w:val="7CAB4D9F"/>
    <w:rsid w:val="7CF74F30"/>
    <w:rsid w:val="7D0633F3"/>
    <w:rsid w:val="7D136827"/>
    <w:rsid w:val="7D6600D4"/>
    <w:rsid w:val="7DAA3C60"/>
    <w:rsid w:val="7DD10836"/>
    <w:rsid w:val="7DDB16B4"/>
    <w:rsid w:val="7EA53F2D"/>
    <w:rsid w:val="7F435763"/>
    <w:rsid w:val="7F6E1E8A"/>
    <w:rsid w:val="7F87110F"/>
    <w:rsid w:val="7F9AFAC8"/>
    <w:rsid w:val="7F9B559F"/>
    <w:rsid w:val="7FAF1655"/>
    <w:rsid w:val="9DFD59E1"/>
    <w:rsid w:val="B3CFAAAC"/>
    <w:rsid w:val="B6EFDABC"/>
    <w:rsid w:val="B72D2300"/>
    <w:rsid w:val="BFB3E7E8"/>
    <w:rsid w:val="ED5B697E"/>
    <w:rsid w:val="EF4DBBC8"/>
    <w:rsid w:val="EFF1C7C6"/>
    <w:rsid w:val="F23E93C4"/>
    <w:rsid w:val="F7FB9289"/>
    <w:rsid w:val="FBDEC50C"/>
    <w:rsid w:val="FBFF3E31"/>
    <w:rsid w:val="FFCC357E"/>
    <w:rsid w:val="FFFA44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40" w:lineRule="exact"/>
      <w:ind w:firstLine="200" w:firstLineChars="200"/>
      <w:jc w:val="both"/>
    </w:pPr>
    <w:rPr>
      <w:rFonts w:ascii="Times New Roman" w:hAnsi="Times New Roman" w:eastAsia="仿宋_GB2312" w:cstheme="minorBidi"/>
      <w:kern w:val="2"/>
      <w:sz w:val="32"/>
      <w:szCs w:val="22"/>
      <w:lang w:val="en-US" w:eastAsia="zh-CN" w:bidi="ar-SA"/>
      <w14:ligatures w14:val="standardContextual"/>
    </w:rPr>
  </w:style>
  <w:style w:type="paragraph" w:styleId="2">
    <w:name w:val="heading 1"/>
    <w:basedOn w:val="1"/>
    <w:next w:val="1"/>
    <w:link w:val="29"/>
    <w:qFormat/>
    <w:uiPriority w:val="0"/>
    <w:pPr>
      <w:keepNext/>
      <w:keepLines/>
      <w:spacing w:before="50" w:beforeLines="50" w:after="50" w:afterLines="50"/>
      <w:ind w:firstLine="0" w:firstLineChars="0"/>
      <w:jc w:val="center"/>
      <w:outlineLvl w:val="0"/>
    </w:pPr>
    <w:rPr>
      <w:rFonts w:eastAsia="方正小标宋_GBK"/>
      <w:bCs/>
      <w:kern w:val="44"/>
      <w:sz w:val="44"/>
      <w:szCs w:val="44"/>
    </w:rPr>
  </w:style>
  <w:style w:type="paragraph" w:styleId="3">
    <w:name w:val="heading 2"/>
    <w:basedOn w:val="1"/>
    <w:next w:val="1"/>
    <w:link w:val="30"/>
    <w:unhideWhenUsed/>
    <w:qFormat/>
    <w:uiPriority w:val="0"/>
    <w:pPr>
      <w:keepNext/>
      <w:keepLines/>
      <w:contextualSpacing/>
      <w:outlineLvl w:val="1"/>
    </w:pPr>
    <w:rPr>
      <w:rFonts w:eastAsia="黑体" w:asciiTheme="majorHAnsi" w:hAnsiTheme="majorHAnsi" w:cstheme="majorBidi"/>
      <w:bCs/>
      <w:szCs w:val="32"/>
    </w:rPr>
  </w:style>
  <w:style w:type="paragraph" w:styleId="4">
    <w:name w:val="heading 3"/>
    <w:basedOn w:val="1"/>
    <w:next w:val="1"/>
    <w:link w:val="32"/>
    <w:unhideWhenUsed/>
    <w:qFormat/>
    <w:uiPriority w:val="0"/>
    <w:pPr>
      <w:keepNext/>
      <w:keepLines/>
      <w:ind w:firstLine="640"/>
      <w:outlineLvl w:val="2"/>
    </w:pPr>
    <w:rPr>
      <w:rFonts w:eastAsia="楷体_GB2312" w:cs="Times New Roman"/>
      <w:color w:val="000000" w:themeColor="text1"/>
      <w:szCs w:val="32"/>
      <w14:textFill>
        <w14:solidFill>
          <w14:schemeClr w14:val="tx1"/>
        </w14:solidFill>
      </w14:textFill>
    </w:rPr>
  </w:style>
  <w:style w:type="character" w:default="1" w:styleId="24">
    <w:name w:val="Default Paragraph Font"/>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unhideWhenUsed/>
    <w:qFormat/>
    <w:uiPriority w:val="39"/>
    <w:pPr>
      <w:spacing w:after="160" w:line="278" w:lineRule="auto"/>
      <w:ind w:left="2520" w:leftChars="1200" w:firstLine="0" w:firstLineChars="0"/>
      <w:jc w:val="left"/>
    </w:pPr>
    <w:rPr>
      <w:rFonts w:asciiTheme="minorHAnsi" w:hAnsiTheme="minorHAnsi" w:eastAsiaTheme="minorEastAsia"/>
      <w:sz w:val="22"/>
      <w:szCs w:val="24"/>
    </w:rPr>
  </w:style>
  <w:style w:type="paragraph" w:styleId="6">
    <w:name w:val="table of authorities"/>
    <w:basedOn w:val="1"/>
    <w:next w:val="1"/>
    <w:qFormat/>
    <w:uiPriority w:val="0"/>
    <w:pPr>
      <w:spacing w:line="240" w:lineRule="auto"/>
      <w:ind w:left="420" w:leftChars="200" w:firstLine="0" w:firstLineChars="0"/>
    </w:pPr>
    <w:rPr>
      <w:rFonts w:eastAsia="仿宋"/>
      <w:sz w:val="21"/>
      <w:szCs w:val="24"/>
      <w14:ligatures w14:val="none"/>
    </w:rPr>
  </w:style>
  <w:style w:type="paragraph" w:styleId="7">
    <w:name w:val="annotation text"/>
    <w:basedOn w:val="1"/>
    <w:link w:val="37"/>
    <w:qFormat/>
    <w:uiPriority w:val="0"/>
    <w:pPr>
      <w:jc w:val="left"/>
    </w:pPr>
  </w:style>
  <w:style w:type="paragraph" w:styleId="8">
    <w:name w:val="Body Text"/>
    <w:basedOn w:val="1"/>
    <w:link w:val="36"/>
    <w:qFormat/>
    <w:uiPriority w:val="0"/>
    <w:pPr>
      <w:spacing w:line="240" w:lineRule="auto"/>
      <w:ind w:firstLine="0" w:firstLineChars="0"/>
    </w:pPr>
    <w:rPr>
      <w:rFonts w:ascii="Calibri" w:hAnsi="Calibri" w:eastAsia="宋体" w:cs="Times New Roman"/>
      <w:sz w:val="21"/>
      <w:szCs w:val="24"/>
      <w14:ligatures w14:val="none"/>
    </w:rPr>
  </w:style>
  <w:style w:type="paragraph" w:styleId="9">
    <w:name w:val="toc 5"/>
    <w:basedOn w:val="1"/>
    <w:next w:val="1"/>
    <w:unhideWhenUsed/>
    <w:qFormat/>
    <w:uiPriority w:val="39"/>
    <w:pPr>
      <w:spacing w:after="160" w:line="278" w:lineRule="auto"/>
      <w:ind w:left="1680" w:leftChars="800" w:firstLine="0" w:firstLineChars="0"/>
      <w:jc w:val="left"/>
    </w:pPr>
    <w:rPr>
      <w:rFonts w:asciiTheme="minorHAnsi" w:hAnsiTheme="minorHAnsi" w:eastAsiaTheme="minorEastAsia"/>
      <w:sz w:val="22"/>
      <w:szCs w:val="24"/>
    </w:rPr>
  </w:style>
  <w:style w:type="paragraph" w:styleId="10">
    <w:name w:val="toc 3"/>
    <w:basedOn w:val="1"/>
    <w:next w:val="1"/>
    <w:qFormat/>
    <w:uiPriority w:val="39"/>
    <w:pPr>
      <w:ind w:left="200" w:leftChars="200"/>
    </w:pPr>
  </w:style>
  <w:style w:type="paragraph" w:styleId="11">
    <w:name w:val="toc 8"/>
    <w:basedOn w:val="1"/>
    <w:next w:val="1"/>
    <w:unhideWhenUsed/>
    <w:qFormat/>
    <w:uiPriority w:val="39"/>
    <w:pPr>
      <w:spacing w:after="160" w:line="278" w:lineRule="auto"/>
      <w:ind w:left="2940" w:leftChars="1400" w:firstLine="0" w:firstLineChars="0"/>
      <w:jc w:val="left"/>
    </w:pPr>
    <w:rPr>
      <w:rFonts w:asciiTheme="minorHAnsi" w:hAnsiTheme="minorHAnsi" w:eastAsiaTheme="minorEastAsia"/>
      <w:sz w:val="22"/>
      <w:szCs w:val="24"/>
    </w:rPr>
  </w:style>
  <w:style w:type="paragraph" w:styleId="12">
    <w:name w:val="Date"/>
    <w:basedOn w:val="1"/>
    <w:next w:val="1"/>
    <w:link w:val="50"/>
    <w:qFormat/>
    <w:uiPriority w:val="0"/>
    <w:pPr>
      <w:ind w:left="100" w:leftChars="2500"/>
    </w:pPr>
  </w:style>
  <w:style w:type="paragraph" w:styleId="13">
    <w:name w:val="footer"/>
    <w:basedOn w:val="1"/>
    <w:link w:val="42"/>
    <w:qFormat/>
    <w:uiPriority w:val="99"/>
    <w:pPr>
      <w:tabs>
        <w:tab w:val="center" w:pos="4153"/>
        <w:tab w:val="right" w:pos="8306"/>
      </w:tabs>
      <w:snapToGrid w:val="0"/>
      <w:jc w:val="left"/>
    </w:pPr>
    <w:rPr>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toc 1"/>
    <w:basedOn w:val="1"/>
    <w:next w:val="1"/>
    <w:qFormat/>
    <w:uiPriority w:val="39"/>
    <w:pPr>
      <w:ind w:firstLine="0" w:firstLineChars="0"/>
    </w:pPr>
    <w:rPr>
      <w:b/>
    </w:rPr>
  </w:style>
  <w:style w:type="paragraph" w:styleId="16">
    <w:name w:val="toc 4"/>
    <w:basedOn w:val="1"/>
    <w:next w:val="1"/>
    <w:unhideWhenUsed/>
    <w:qFormat/>
    <w:uiPriority w:val="39"/>
    <w:pPr>
      <w:spacing w:after="160" w:line="278" w:lineRule="auto"/>
      <w:ind w:left="1260" w:leftChars="600" w:firstLine="0" w:firstLineChars="0"/>
      <w:jc w:val="left"/>
    </w:pPr>
    <w:rPr>
      <w:rFonts w:asciiTheme="minorHAnsi" w:hAnsiTheme="minorHAnsi" w:eastAsiaTheme="minorEastAsia"/>
      <w:sz w:val="22"/>
      <w:szCs w:val="24"/>
    </w:rPr>
  </w:style>
  <w:style w:type="paragraph" w:styleId="17">
    <w:name w:val="toc 6"/>
    <w:basedOn w:val="1"/>
    <w:next w:val="1"/>
    <w:unhideWhenUsed/>
    <w:qFormat/>
    <w:uiPriority w:val="39"/>
    <w:pPr>
      <w:spacing w:after="160" w:line="278" w:lineRule="auto"/>
      <w:ind w:left="2100" w:leftChars="1000" w:firstLine="0" w:firstLineChars="0"/>
      <w:jc w:val="left"/>
    </w:pPr>
    <w:rPr>
      <w:rFonts w:asciiTheme="minorHAnsi" w:hAnsiTheme="minorHAnsi" w:eastAsiaTheme="minorEastAsia"/>
      <w:sz w:val="22"/>
      <w:szCs w:val="24"/>
    </w:rPr>
  </w:style>
  <w:style w:type="paragraph" w:styleId="18">
    <w:name w:val="toc 2"/>
    <w:basedOn w:val="1"/>
    <w:next w:val="1"/>
    <w:qFormat/>
    <w:uiPriority w:val="39"/>
  </w:style>
  <w:style w:type="paragraph" w:styleId="19">
    <w:name w:val="toc 9"/>
    <w:basedOn w:val="1"/>
    <w:next w:val="1"/>
    <w:unhideWhenUsed/>
    <w:qFormat/>
    <w:uiPriority w:val="39"/>
    <w:pPr>
      <w:spacing w:after="160" w:line="278" w:lineRule="auto"/>
      <w:ind w:left="3360" w:leftChars="1600" w:firstLine="0" w:firstLineChars="0"/>
      <w:jc w:val="left"/>
    </w:pPr>
    <w:rPr>
      <w:rFonts w:asciiTheme="minorHAnsi" w:hAnsiTheme="minorHAnsi" w:eastAsiaTheme="minorEastAsia"/>
      <w:sz w:val="22"/>
      <w:szCs w:val="24"/>
    </w:rPr>
  </w:style>
  <w:style w:type="paragraph" w:styleId="20">
    <w:name w:val="Normal (Web)"/>
    <w:basedOn w:val="1"/>
    <w:qFormat/>
    <w:uiPriority w:val="0"/>
    <w:pPr>
      <w:spacing w:beforeAutospacing="1" w:afterAutospacing="1"/>
      <w:jc w:val="left"/>
    </w:pPr>
    <w:rPr>
      <w:rFonts w:cs="Times New Roman"/>
      <w:kern w:val="0"/>
      <w:sz w:val="24"/>
    </w:rPr>
  </w:style>
  <w:style w:type="paragraph" w:styleId="21">
    <w:name w:val="Title"/>
    <w:basedOn w:val="1"/>
    <w:next w:val="1"/>
    <w:link w:val="31"/>
    <w:qFormat/>
    <w:uiPriority w:val="0"/>
    <w:pPr>
      <w:ind w:firstLine="0" w:firstLineChars="0"/>
      <w:jc w:val="center"/>
      <w:outlineLvl w:val="0"/>
    </w:pPr>
    <w:rPr>
      <w:rFonts w:eastAsia="方正小标宋_GBK" w:asciiTheme="majorHAnsi" w:hAnsiTheme="majorHAnsi" w:cstheme="majorBidi"/>
      <w:bCs/>
      <w:sz w:val="44"/>
      <w:szCs w:val="32"/>
    </w:rPr>
  </w:style>
  <w:style w:type="paragraph" w:styleId="22">
    <w:name w:val="annotation subject"/>
    <w:basedOn w:val="7"/>
    <w:next w:val="7"/>
    <w:link w:val="38"/>
    <w:qFormat/>
    <w:uiPriority w:val="0"/>
    <w:rPr>
      <w:b/>
      <w:bCs/>
    </w:rPr>
  </w:style>
  <w:style w:type="character" w:styleId="25">
    <w:name w:val="Strong"/>
    <w:basedOn w:val="24"/>
    <w:qFormat/>
    <w:uiPriority w:val="0"/>
    <w:rPr>
      <w:b/>
    </w:rPr>
  </w:style>
  <w:style w:type="character" w:styleId="26">
    <w:name w:val="Hyperlink"/>
    <w:basedOn w:val="24"/>
    <w:qFormat/>
    <w:uiPriority w:val="99"/>
    <w:rPr>
      <w:color w:val="0000FF"/>
      <w:u w:val="single"/>
    </w:rPr>
  </w:style>
  <w:style w:type="character" w:styleId="27">
    <w:name w:val="annotation reference"/>
    <w:basedOn w:val="24"/>
    <w:qFormat/>
    <w:uiPriority w:val="0"/>
    <w:rPr>
      <w:sz w:val="21"/>
      <w:szCs w:val="21"/>
    </w:rPr>
  </w:style>
  <w:style w:type="paragraph" w:styleId="28">
    <w:name w:val="List Paragraph"/>
    <w:basedOn w:val="1"/>
    <w:unhideWhenUsed/>
    <w:qFormat/>
    <w:uiPriority w:val="99"/>
    <w:pPr>
      <w:ind w:firstLine="420"/>
    </w:pPr>
  </w:style>
  <w:style w:type="character" w:customStyle="1" w:styleId="29">
    <w:name w:val="标题 1 字符"/>
    <w:basedOn w:val="24"/>
    <w:link w:val="2"/>
    <w:qFormat/>
    <w:uiPriority w:val="0"/>
    <w:rPr>
      <w:rFonts w:eastAsia="方正小标宋_GBK" w:cstheme="minorBidi"/>
      <w:bCs/>
      <w:kern w:val="44"/>
      <w:sz w:val="44"/>
      <w:szCs w:val="44"/>
      <w14:ligatures w14:val="standardContextual"/>
    </w:rPr>
  </w:style>
  <w:style w:type="character" w:customStyle="1" w:styleId="30">
    <w:name w:val="标题 2 字符"/>
    <w:basedOn w:val="24"/>
    <w:link w:val="3"/>
    <w:qFormat/>
    <w:uiPriority w:val="0"/>
    <w:rPr>
      <w:rFonts w:eastAsia="黑体" w:asciiTheme="majorHAnsi" w:hAnsiTheme="majorHAnsi" w:cstheme="majorBidi"/>
      <w:bCs/>
      <w:kern w:val="2"/>
      <w:sz w:val="32"/>
      <w:szCs w:val="32"/>
      <w14:ligatures w14:val="standardContextual"/>
    </w:rPr>
  </w:style>
  <w:style w:type="character" w:customStyle="1" w:styleId="31">
    <w:name w:val="标题 字符"/>
    <w:basedOn w:val="24"/>
    <w:link w:val="21"/>
    <w:qFormat/>
    <w:uiPriority w:val="0"/>
    <w:rPr>
      <w:rFonts w:eastAsia="方正小标宋_GBK" w:asciiTheme="majorHAnsi" w:hAnsiTheme="majorHAnsi" w:cstheme="majorBidi"/>
      <w:bCs/>
      <w:kern w:val="2"/>
      <w:sz w:val="44"/>
      <w:szCs w:val="32"/>
      <w14:ligatures w14:val="standardContextual"/>
    </w:rPr>
  </w:style>
  <w:style w:type="character" w:customStyle="1" w:styleId="32">
    <w:name w:val="标题 3 字符"/>
    <w:basedOn w:val="24"/>
    <w:link w:val="4"/>
    <w:qFormat/>
    <w:uiPriority w:val="0"/>
    <w:rPr>
      <w:rFonts w:eastAsia="楷体_GB2312"/>
      <w:color w:val="000000" w:themeColor="text1"/>
      <w:kern w:val="2"/>
      <w:sz w:val="32"/>
      <w:szCs w:val="32"/>
      <w14:textFill>
        <w14:solidFill>
          <w14:schemeClr w14:val="tx1"/>
        </w14:solidFill>
      </w14:textFill>
      <w14:ligatures w14:val="standardContextual"/>
    </w:rPr>
  </w:style>
  <w:style w:type="character" w:customStyle="1" w:styleId="33">
    <w:name w:val="小三仿宋字体 Char"/>
    <w:link w:val="34"/>
    <w:qFormat/>
    <w:uiPriority w:val="0"/>
    <w:rPr>
      <w:rFonts w:eastAsia="仿宋_GB2312"/>
      <w:sz w:val="30"/>
      <w:szCs w:val="30"/>
    </w:rPr>
  </w:style>
  <w:style w:type="paragraph" w:customStyle="1" w:styleId="34">
    <w:name w:val="小三仿宋字体"/>
    <w:basedOn w:val="1"/>
    <w:link w:val="33"/>
    <w:qFormat/>
    <w:uiPriority w:val="0"/>
    <w:pPr>
      <w:spacing w:line="300" w:lineRule="auto"/>
      <w:ind w:firstLine="600"/>
    </w:pPr>
    <w:rPr>
      <w:rFonts w:cs="Times New Roman"/>
      <w:kern w:val="0"/>
      <w:sz w:val="30"/>
      <w:szCs w:val="30"/>
      <w14:ligatures w14:val="none"/>
    </w:rPr>
  </w:style>
  <w:style w:type="paragraph" w:customStyle="1" w:styleId="35">
    <w:name w:val="修订1"/>
    <w:hidden/>
    <w:unhideWhenUsed/>
    <w:qFormat/>
    <w:uiPriority w:val="99"/>
    <w:rPr>
      <w:rFonts w:ascii="Times New Roman" w:hAnsi="Times New Roman" w:eastAsia="仿宋_GB2312" w:cstheme="minorBidi"/>
      <w:kern w:val="2"/>
      <w:sz w:val="32"/>
      <w:szCs w:val="22"/>
      <w:lang w:val="en-US" w:eastAsia="zh-CN" w:bidi="ar-SA"/>
      <w14:ligatures w14:val="standardContextual"/>
    </w:rPr>
  </w:style>
  <w:style w:type="character" w:customStyle="1" w:styleId="36">
    <w:name w:val="正文文本 字符"/>
    <w:basedOn w:val="24"/>
    <w:link w:val="8"/>
    <w:qFormat/>
    <w:uiPriority w:val="0"/>
    <w:rPr>
      <w:rFonts w:ascii="Calibri" w:hAnsi="Calibri"/>
      <w:kern w:val="2"/>
      <w:sz w:val="21"/>
      <w:szCs w:val="24"/>
    </w:rPr>
  </w:style>
  <w:style w:type="character" w:customStyle="1" w:styleId="37">
    <w:name w:val="批注文字 字符"/>
    <w:basedOn w:val="24"/>
    <w:link w:val="7"/>
    <w:qFormat/>
    <w:uiPriority w:val="0"/>
    <w:rPr>
      <w:rFonts w:eastAsia="仿宋_GB2312" w:cstheme="minorBidi"/>
      <w:kern w:val="2"/>
      <w:sz w:val="32"/>
      <w:szCs w:val="22"/>
      <w14:ligatures w14:val="standardContextual"/>
    </w:rPr>
  </w:style>
  <w:style w:type="character" w:customStyle="1" w:styleId="38">
    <w:name w:val="批注主题 字符"/>
    <w:basedOn w:val="37"/>
    <w:link w:val="22"/>
    <w:qFormat/>
    <w:uiPriority w:val="0"/>
    <w:rPr>
      <w:rFonts w:eastAsia="仿宋_GB2312" w:cstheme="minorBidi"/>
      <w:b/>
      <w:bCs/>
      <w:kern w:val="2"/>
      <w:sz w:val="32"/>
      <w:szCs w:val="22"/>
      <w14:ligatures w14:val="standardContextual"/>
    </w:rPr>
  </w:style>
  <w:style w:type="paragraph" w:customStyle="1" w:styleId="39">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40">
    <w:name w:val="修订2"/>
    <w:hidden/>
    <w:unhideWhenUsed/>
    <w:qFormat/>
    <w:uiPriority w:val="99"/>
    <w:rPr>
      <w:rFonts w:ascii="Times New Roman" w:hAnsi="Times New Roman" w:eastAsia="仿宋_GB2312" w:cstheme="minorBidi"/>
      <w:kern w:val="2"/>
      <w:sz w:val="32"/>
      <w:szCs w:val="22"/>
      <w:lang w:val="en-US" w:eastAsia="zh-CN" w:bidi="ar-SA"/>
      <w14:ligatures w14:val="standardContextual"/>
    </w:rPr>
  </w:style>
  <w:style w:type="paragraph" w:customStyle="1" w:styleId="41">
    <w:name w:val="TOC 标题1"/>
    <w:basedOn w:val="2"/>
    <w:next w:val="1"/>
    <w:unhideWhenUsed/>
    <w:qFormat/>
    <w:uiPriority w:val="39"/>
    <w:pPr>
      <w:widowControl/>
      <w:spacing w:before="240" w:beforeLines="0" w:after="0" w:afterLines="0" w:line="259" w:lineRule="auto"/>
      <w:jc w:val="left"/>
      <w:outlineLvl w:val="9"/>
    </w:pPr>
    <w:rPr>
      <w:rFonts w:asciiTheme="majorHAnsi" w:hAnsiTheme="majorHAnsi" w:eastAsiaTheme="majorEastAsia" w:cstheme="majorBidi"/>
      <w:bCs w:val="0"/>
      <w:color w:val="2E75B6" w:themeColor="accent1" w:themeShade="BF"/>
      <w:kern w:val="0"/>
      <w:sz w:val="32"/>
      <w:szCs w:val="32"/>
      <w14:ligatures w14:val="none"/>
    </w:rPr>
  </w:style>
  <w:style w:type="character" w:customStyle="1" w:styleId="42">
    <w:name w:val="页脚 字符"/>
    <w:basedOn w:val="24"/>
    <w:link w:val="13"/>
    <w:qFormat/>
    <w:uiPriority w:val="99"/>
    <w:rPr>
      <w:rFonts w:eastAsia="仿宋_GB2312" w:cstheme="minorBidi"/>
      <w:kern w:val="2"/>
      <w:sz w:val="18"/>
      <w:szCs w:val="22"/>
      <w14:ligatures w14:val="standardContextual"/>
    </w:rPr>
  </w:style>
  <w:style w:type="character" w:customStyle="1" w:styleId="43">
    <w:name w:val="未处理的提及1"/>
    <w:basedOn w:val="24"/>
    <w:semiHidden/>
    <w:unhideWhenUsed/>
    <w:qFormat/>
    <w:uiPriority w:val="99"/>
    <w:rPr>
      <w:color w:val="605E5C"/>
      <w:shd w:val="clear" w:color="auto" w:fill="E1DFDD"/>
    </w:rPr>
  </w:style>
  <w:style w:type="character" w:customStyle="1" w:styleId="44">
    <w:name w:val="未处理的提及2"/>
    <w:basedOn w:val="24"/>
    <w:semiHidden/>
    <w:unhideWhenUsed/>
    <w:qFormat/>
    <w:uiPriority w:val="99"/>
    <w:rPr>
      <w:color w:val="605E5C"/>
      <w:shd w:val="clear" w:color="auto" w:fill="E1DFDD"/>
    </w:rPr>
  </w:style>
  <w:style w:type="paragraph" w:customStyle="1" w:styleId="45">
    <w:name w:val="修订3"/>
    <w:hidden/>
    <w:unhideWhenUsed/>
    <w:qFormat/>
    <w:uiPriority w:val="99"/>
    <w:rPr>
      <w:rFonts w:ascii="Times New Roman" w:hAnsi="Times New Roman" w:eastAsia="仿宋_GB2312" w:cstheme="minorBidi"/>
      <w:kern w:val="2"/>
      <w:sz w:val="32"/>
      <w:szCs w:val="22"/>
      <w:lang w:val="en-US" w:eastAsia="zh-CN" w:bidi="ar-SA"/>
      <w14:ligatures w14:val="standardContextual"/>
    </w:rPr>
  </w:style>
  <w:style w:type="paragraph" w:customStyle="1" w:styleId="46">
    <w:name w:val="修订4"/>
    <w:hidden/>
    <w:unhideWhenUsed/>
    <w:qFormat/>
    <w:uiPriority w:val="99"/>
    <w:rPr>
      <w:rFonts w:ascii="Times New Roman" w:hAnsi="Times New Roman" w:eastAsia="仿宋_GB2312" w:cstheme="minorBidi"/>
      <w:kern w:val="2"/>
      <w:sz w:val="32"/>
      <w:szCs w:val="22"/>
      <w:lang w:val="en-US" w:eastAsia="zh-CN" w:bidi="ar-SA"/>
      <w14:ligatures w14:val="standardContextual"/>
    </w:rPr>
  </w:style>
  <w:style w:type="paragraph" w:customStyle="1" w:styleId="47">
    <w:name w:val="修订5"/>
    <w:hidden/>
    <w:unhideWhenUsed/>
    <w:qFormat/>
    <w:uiPriority w:val="99"/>
    <w:rPr>
      <w:rFonts w:ascii="Times New Roman" w:hAnsi="Times New Roman" w:eastAsia="仿宋_GB2312" w:cstheme="minorBidi"/>
      <w:kern w:val="2"/>
      <w:sz w:val="32"/>
      <w:szCs w:val="22"/>
      <w:lang w:val="en-US" w:eastAsia="zh-CN" w:bidi="ar-SA"/>
      <w14:ligatures w14:val="standardContextual"/>
    </w:rPr>
  </w:style>
  <w:style w:type="character" w:customStyle="1" w:styleId="48">
    <w:name w:val="未处理的提及3"/>
    <w:basedOn w:val="24"/>
    <w:semiHidden/>
    <w:unhideWhenUsed/>
    <w:qFormat/>
    <w:uiPriority w:val="99"/>
    <w:rPr>
      <w:color w:val="605E5C"/>
      <w:shd w:val="clear" w:color="auto" w:fill="E1DFDD"/>
    </w:rPr>
  </w:style>
  <w:style w:type="paragraph" w:customStyle="1" w:styleId="49">
    <w:name w:val="Revision"/>
    <w:hidden/>
    <w:unhideWhenUsed/>
    <w:qFormat/>
    <w:uiPriority w:val="99"/>
    <w:rPr>
      <w:rFonts w:ascii="Times New Roman" w:hAnsi="Times New Roman" w:eastAsia="仿宋_GB2312" w:cstheme="minorBidi"/>
      <w:kern w:val="2"/>
      <w:sz w:val="32"/>
      <w:szCs w:val="22"/>
      <w:lang w:val="en-US" w:eastAsia="zh-CN" w:bidi="ar-SA"/>
      <w14:ligatures w14:val="standardContextual"/>
    </w:rPr>
  </w:style>
  <w:style w:type="character" w:customStyle="1" w:styleId="50">
    <w:name w:val="日期 字符"/>
    <w:basedOn w:val="24"/>
    <w:link w:val="12"/>
    <w:qFormat/>
    <w:uiPriority w:val="0"/>
    <w:rPr>
      <w:rFonts w:eastAsia="仿宋_GB2312" w:cstheme="minorBidi"/>
      <w:kern w:val="2"/>
      <w:sz w:val="32"/>
      <w:szCs w:val="22"/>
      <w14:ligatures w14:val="standardContextual"/>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28</Pages>
  <Words>8871</Words>
  <Characters>9226</Characters>
  <Lines>461</Lines>
  <Paragraphs>377</Paragraphs>
  <TotalTime>260</TotalTime>
  <ScaleCrop>false</ScaleCrop>
  <LinksUpToDate>false</LinksUpToDate>
  <CharactersWithSpaces>17720</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2026-06-26T00:10:00Z</dcterms:created>
  <dc:creator>renju</dc:creator>
  <cp:lastModifiedBy>greatwall</cp:lastModifiedBy>
  <cp:lastPrinted>2026-07-20T10:59:13Z</cp:lastPrinted>
  <dcterms:modified xsi:type="dcterms:W3CDTF">2026-07-20T11:00:49Z</dcterms:modified>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61B7A11DB2144850804BA938AA6031B9</vt:lpwstr>
  </property>
  <property fmtid="{D5CDD505-2E9C-101B-9397-08002B2CF9AE}" pid="4" name="KSOTemplateDocerSaveRecord">
    <vt:lpwstr>eyJoZGlkIjoiZTAwMDRjYTFlMDU0YTE0ZjE2Njg3NGJjYjNmYWY5YzciLCJ1c2VySWQiOiI4NjY0NTMwMjMifQ==</vt:lpwstr>
  </property>
</Properties>
</file>